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415E6" w14:textId="77777777" w:rsidR="00EA2628" w:rsidRPr="00A63883" w:rsidRDefault="00EA2628" w:rsidP="00EA262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  <w:bookmarkStart w:id="0" w:name="_Hlk124863513"/>
      <w:r w:rsidRPr="00A63883">
        <w:rPr>
          <w:rFonts w:ascii="Arial" w:eastAsia="Arial" w:hAnsi="Arial" w:cs="Arial"/>
          <w:b/>
          <w:color w:val="000000"/>
        </w:rPr>
        <w:t>PROJECT NO. 54233</w:t>
      </w:r>
    </w:p>
    <w:p w14:paraId="3978CEA7" w14:textId="77777777" w:rsidR="00EA2628" w:rsidRPr="00A63883" w:rsidRDefault="00EA2628" w:rsidP="00EA262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6A9CBC0D" w14:textId="77777777" w:rsidR="00EA2628" w:rsidRPr="00A63883" w:rsidRDefault="00EA2628" w:rsidP="00EA26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tbl>
      <w:tblPr>
        <w:tblW w:w="9445" w:type="dxa"/>
        <w:tblLayout w:type="fixed"/>
        <w:tblLook w:val="0400" w:firstRow="0" w:lastRow="0" w:firstColumn="0" w:lastColumn="0" w:noHBand="0" w:noVBand="1"/>
      </w:tblPr>
      <w:tblGrid>
        <w:gridCol w:w="4495"/>
        <w:gridCol w:w="360"/>
        <w:gridCol w:w="4590"/>
      </w:tblGrid>
      <w:tr w:rsidR="00EA2628" w:rsidRPr="00A63883" w14:paraId="519FBD55" w14:textId="77777777" w:rsidTr="00C7008C">
        <w:tc>
          <w:tcPr>
            <w:tcW w:w="4495" w:type="dxa"/>
          </w:tcPr>
          <w:p w14:paraId="19E72155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</w:tabs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TECHNICAL REQUIREMENTS AND INTERCONNECTION PROCESSES</w:t>
            </w:r>
          </w:p>
          <w:p w14:paraId="52F66EDA" w14:textId="21ACD116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 xml:space="preserve">FOR DISTRIBUTED ENERGY </w:t>
            </w:r>
            <w:r w:rsidR="003E0A60" w:rsidRPr="00A63883">
              <w:rPr>
                <w:rFonts w:ascii="Arial" w:hAnsi="Arial" w:cs="Arial"/>
                <w:b/>
                <w:color w:val="000000"/>
              </w:rPr>
              <w:t xml:space="preserve">RESOURCES </w:t>
            </w:r>
            <w:r w:rsidRPr="00A63883">
              <w:rPr>
                <w:rFonts w:ascii="Arial" w:hAnsi="Arial" w:cs="Arial"/>
                <w:b/>
                <w:color w:val="000000"/>
              </w:rPr>
              <w:t>(DERs)</w:t>
            </w:r>
            <w:r w:rsidRPr="00A63883">
              <w:rPr>
                <w:rFonts w:ascii="Arial" w:hAnsi="Arial" w:cs="Arial"/>
                <w:b/>
                <w:color w:val="000000"/>
              </w:rPr>
              <w:tab/>
            </w:r>
          </w:p>
        </w:tc>
        <w:tc>
          <w:tcPr>
            <w:tcW w:w="360" w:type="dxa"/>
          </w:tcPr>
          <w:p w14:paraId="53078B25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§</w:t>
            </w:r>
          </w:p>
          <w:p w14:paraId="6371DE22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§</w:t>
            </w:r>
          </w:p>
          <w:p w14:paraId="45864C1C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§</w:t>
            </w:r>
          </w:p>
          <w:p w14:paraId="0E2678D0" w14:textId="77777777" w:rsidR="003E0A60" w:rsidRPr="00A63883" w:rsidRDefault="003E0A60" w:rsidP="003E0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§</w:t>
            </w:r>
          </w:p>
          <w:p w14:paraId="2263BA6F" w14:textId="7DDDEAD1" w:rsidR="003E0A60" w:rsidRPr="00A63883" w:rsidRDefault="003E0A60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590" w:type="dxa"/>
          </w:tcPr>
          <w:p w14:paraId="66F4065E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ind w:right="-110"/>
              <w:jc w:val="center"/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PUBLIC UTILITY COMMISSION</w:t>
            </w:r>
          </w:p>
          <w:p w14:paraId="3AA54061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ind w:right="-110"/>
              <w:jc w:val="center"/>
              <w:rPr>
                <w:rFonts w:ascii="Arial" w:hAnsi="Arial" w:cs="Arial"/>
                <w:b/>
                <w:color w:val="000000"/>
              </w:rPr>
            </w:pPr>
          </w:p>
          <w:p w14:paraId="18C058C8" w14:textId="77777777" w:rsidR="00EA2628" w:rsidRPr="00A63883" w:rsidRDefault="00EA2628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</w:p>
          <w:p w14:paraId="70A3A938" w14:textId="3A3C8E6A" w:rsidR="003E0A60" w:rsidRPr="00A63883" w:rsidRDefault="00252EF5" w:rsidP="00C70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</w:rPr>
            </w:pPr>
            <w:r w:rsidRPr="00A63883">
              <w:rPr>
                <w:rFonts w:ascii="Arial" w:hAnsi="Arial" w:cs="Arial"/>
                <w:b/>
                <w:color w:val="000000"/>
              </w:rPr>
              <w:t>OF TEXAS</w:t>
            </w:r>
          </w:p>
        </w:tc>
      </w:tr>
    </w:tbl>
    <w:p w14:paraId="48B4BB9E" w14:textId="77777777" w:rsidR="00EA2628" w:rsidRPr="00A63883" w:rsidRDefault="00EA2628" w:rsidP="00EA26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bCs/>
          <w:color w:val="000000"/>
        </w:rPr>
      </w:pPr>
    </w:p>
    <w:p w14:paraId="38B414FD" w14:textId="000614E3" w:rsidR="008E7909" w:rsidRPr="00A63883" w:rsidRDefault="00EA2628" w:rsidP="00BB76E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bCs/>
          <w:color w:val="000000"/>
        </w:rPr>
      </w:pPr>
      <w:r w:rsidRPr="00A63883">
        <w:rPr>
          <w:rFonts w:ascii="Arial" w:eastAsia="Arial" w:hAnsi="Arial" w:cs="Arial"/>
          <w:b/>
          <w:bCs/>
          <w:color w:val="000000"/>
        </w:rPr>
        <w:t>TEXAS SOLAR POWER ASSOCIATION</w:t>
      </w:r>
      <w:r w:rsidR="00BB76E3" w:rsidRPr="00A63883">
        <w:rPr>
          <w:rFonts w:ascii="Arial" w:eastAsia="Arial" w:hAnsi="Arial" w:cs="Arial"/>
          <w:b/>
          <w:bCs/>
          <w:color w:val="000000"/>
        </w:rPr>
        <w:t>’S</w:t>
      </w:r>
      <w:bookmarkEnd w:id="0"/>
      <w:r w:rsidR="00E744FB" w:rsidRPr="00A63883">
        <w:rPr>
          <w:rFonts w:ascii="Arial" w:eastAsia="Arial" w:hAnsi="Arial" w:cs="Arial"/>
          <w:b/>
          <w:bCs/>
          <w:color w:val="000000"/>
        </w:rPr>
        <w:t xml:space="preserve"> COMMENTS</w:t>
      </w:r>
    </w:p>
    <w:p w14:paraId="59360EB4" w14:textId="3B6D0382" w:rsidR="00E744FB" w:rsidRPr="00A63883" w:rsidRDefault="00E744FB" w:rsidP="00BB76E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bCs/>
          <w:color w:val="000000"/>
        </w:rPr>
      </w:pPr>
      <w:r w:rsidRPr="00A63883">
        <w:rPr>
          <w:rFonts w:ascii="Arial" w:eastAsia="Arial" w:hAnsi="Arial" w:cs="Arial"/>
          <w:b/>
          <w:bCs/>
          <w:color w:val="000000"/>
        </w:rPr>
        <w:t>ON WORKSHOP</w:t>
      </w:r>
      <w:r w:rsidR="00520061" w:rsidRPr="00A63883">
        <w:rPr>
          <w:rFonts w:ascii="Arial" w:eastAsia="Arial" w:hAnsi="Arial" w:cs="Arial"/>
          <w:b/>
          <w:bCs/>
          <w:color w:val="000000"/>
        </w:rPr>
        <w:t xml:space="preserve"> DISCUSSIONS</w:t>
      </w:r>
    </w:p>
    <w:p w14:paraId="46C21D1E" w14:textId="77777777" w:rsidR="00F635FB" w:rsidRPr="00A63883" w:rsidRDefault="00F635FB" w:rsidP="00BB76E3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rFonts w:ascii="Arial" w:eastAsia="Arial" w:hAnsi="Arial" w:cs="Arial"/>
          <w:color w:val="000000"/>
        </w:rPr>
      </w:pPr>
    </w:p>
    <w:p w14:paraId="63493D2A" w14:textId="607246A3" w:rsidR="006C4B55" w:rsidRDefault="00393322" w:rsidP="00DA3D50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 xml:space="preserve">The </w:t>
      </w:r>
      <w:r w:rsidR="00EA2628" w:rsidRPr="00A63883">
        <w:rPr>
          <w:rFonts w:ascii="Arial" w:eastAsia="Arial" w:hAnsi="Arial" w:cs="Arial"/>
          <w:color w:val="000000"/>
        </w:rPr>
        <w:t xml:space="preserve">Texas Solar Power Association (TSPA) </w:t>
      </w:r>
      <w:r w:rsidRPr="00A63883">
        <w:rPr>
          <w:rFonts w:ascii="Arial" w:eastAsia="Arial" w:hAnsi="Arial" w:cs="Arial"/>
          <w:color w:val="000000"/>
        </w:rPr>
        <w:t>appreciate</w:t>
      </w:r>
      <w:r w:rsidR="00BB7BE0" w:rsidRPr="00A63883">
        <w:rPr>
          <w:rFonts w:ascii="Arial" w:eastAsia="Arial" w:hAnsi="Arial" w:cs="Arial"/>
          <w:color w:val="000000"/>
        </w:rPr>
        <w:t>s</w:t>
      </w:r>
      <w:r w:rsidRPr="00A63883">
        <w:rPr>
          <w:rFonts w:ascii="Arial" w:eastAsia="Arial" w:hAnsi="Arial" w:cs="Arial"/>
          <w:color w:val="000000"/>
        </w:rPr>
        <w:t xml:space="preserve"> the opportunity to </w:t>
      </w:r>
      <w:r w:rsidR="00226482" w:rsidRPr="00A63883">
        <w:rPr>
          <w:rFonts w:ascii="Arial" w:eastAsia="Arial" w:hAnsi="Arial" w:cs="Arial"/>
          <w:color w:val="000000"/>
        </w:rPr>
        <w:t xml:space="preserve">comment on the discussions at the </w:t>
      </w:r>
      <w:r w:rsidR="00BB7BE0" w:rsidRPr="00A63883">
        <w:rPr>
          <w:rFonts w:ascii="Arial" w:eastAsia="Arial" w:hAnsi="Arial" w:cs="Arial"/>
          <w:color w:val="000000"/>
        </w:rPr>
        <w:t>June 16</w:t>
      </w:r>
      <w:r w:rsidR="00905AE5" w:rsidRPr="00A63883">
        <w:rPr>
          <w:rFonts w:ascii="Arial" w:eastAsia="Arial" w:hAnsi="Arial" w:cs="Arial"/>
          <w:color w:val="000000"/>
        </w:rPr>
        <w:t>th</w:t>
      </w:r>
      <w:r w:rsidR="00BB7BE0" w:rsidRPr="00A63883">
        <w:rPr>
          <w:rFonts w:ascii="Arial" w:eastAsia="Arial" w:hAnsi="Arial" w:cs="Arial"/>
          <w:color w:val="000000"/>
        </w:rPr>
        <w:t xml:space="preserve">, </w:t>
      </w:r>
      <w:r w:rsidR="003B680D" w:rsidRPr="00A63883">
        <w:rPr>
          <w:rFonts w:ascii="Arial" w:eastAsia="Arial" w:hAnsi="Arial" w:cs="Arial"/>
          <w:color w:val="000000"/>
        </w:rPr>
        <w:t>Ju</w:t>
      </w:r>
      <w:r w:rsidR="00905AE5" w:rsidRPr="00A63883">
        <w:rPr>
          <w:rFonts w:ascii="Arial" w:eastAsia="Arial" w:hAnsi="Arial" w:cs="Arial"/>
          <w:color w:val="000000"/>
        </w:rPr>
        <w:t>n</w:t>
      </w:r>
      <w:r w:rsidR="003B680D" w:rsidRPr="00A63883">
        <w:rPr>
          <w:rFonts w:ascii="Arial" w:eastAsia="Arial" w:hAnsi="Arial" w:cs="Arial"/>
          <w:color w:val="000000"/>
        </w:rPr>
        <w:t>e 30</w:t>
      </w:r>
      <w:r w:rsidR="00905AE5" w:rsidRPr="00A63883">
        <w:rPr>
          <w:rFonts w:ascii="Arial" w:eastAsia="Arial" w:hAnsi="Arial" w:cs="Arial"/>
          <w:color w:val="000000"/>
        </w:rPr>
        <w:t>th</w:t>
      </w:r>
      <w:r w:rsidR="003B680D" w:rsidRPr="00A63883">
        <w:rPr>
          <w:rFonts w:ascii="Arial" w:eastAsia="Arial" w:hAnsi="Arial" w:cs="Arial"/>
          <w:color w:val="000000"/>
        </w:rPr>
        <w:t>, and July 14</w:t>
      </w:r>
      <w:r w:rsidR="00905AE5" w:rsidRPr="00A63883">
        <w:rPr>
          <w:rFonts w:ascii="Arial" w:eastAsia="Arial" w:hAnsi="Arial" w:cs="Arial"/>
          <w:color w:val="000000"/>
        </w:rPr>
        <w:t xml:space="preserve">th </w:t>
      </w:r>
      <w:r w:rsidRPr="00A63883">
        <w:rPr>
          <w:rFonts w:ascii="Arial" w:eastAsia="Arial" w:hAnsi="Arial" w:cs="Arial"/>
          <w:color w:val="000000"/>
        </w:rPr>
        <w:t>Workshop</w:t>
      </w:r>
      <w:r w:rsidR="00905AE5" w:rsidRPr="00A63883">
        <w:rPr>
          <w:rFonts w:ascii="Arial" w:eastAsia="Arial" w:hAnsi="Arial" w:cs="Arial"/>
          <w:color w:val="000000"/>
        </w:rPr>
        <w:t>s</w:t>
      </w:r>
      <w:r w:rsidR="00D55633" w:rsidRPr="00A63883">
        <w:rPr>
          <w:rFonts w:ascii="Arial" w:eastAsia="Arial" w:hAnsi="Arial" w:cs="Arial"/>
          <w:color w:val="000000"/>
        </w:rPr>
        <w:t xml:space="preserve">.  </w:t>
      </w:r>
      <w:r w:rsidR="0001442B" w:rsidRPr="00A63883">
        <w:rPr>
          <w:rFonts w:ascii="Arial" w:eastAsia="Arial" w:hAnsi="Arial" w:cs="Arial"/>
          <w:color w:val="000000"/>
        </w:rPr>
        <w:t xml:space="preserve">TSPA continues to </w:t>
      </w:r>
      <w:r w:rsidR="009574B2" w:rsidRPr="00A63883">
        <w:rPr>
          <w:rFonts w:ascii="Arial" w:eastAsia="Arial" w:hAnsi="Arial" w:cs="Arial"/>
          <w:color w:val="000000"/>
        </w:rPr>
        <w:t>support</w:t>
      </w:r>
      <w:r w:rsidR="0001442B" w:rsidRPr="00A63883">
        <w:rPr>
          <w:rFonts w:ascii="Arial" w:eastAsia="Arial" w:hAnsi="Arial" w:cs="Arial"/>
          <w:color w:val="000000"/>
        </w:rPr>
        <w:t xml:space="preserve"> proposed rules which </w:t>
      </w:r>
      <w:r w:rsidR="00CB51A6" w:rsidRPr="00A63883">
        <w:rPr>
          <w:rFonts w:ascii="Arial" w:eastAsia="Arial" w:hAnsi="Arial" w:cs="Arial"/>
          <w:color w:val="000000"/>
        </w:rPr>
        <w:t xml:space="preserve">increase transparency and </w:t>
      </w:r>
      <w:r w:rsidR="0049757B" w:rsidRPr="00A63883">
        <w:rPr>
          <w:rFonts w:ascii="Arial" w:eastAsia="Arial" w:hAnsi="Arial" w:cs="Arial"/>
          <w:color w:val="000000"/>
        </w:rPr>
        <w:t>streamline</w:t>
      </w:r>
      <w:r w:rsidR="002767DA" w:rsidRPr="00A63883">
        <w:rPr>
          <w:rFonts w:ascii="Arial" w:eastAsia="Arial" w:hAnsi="Arial" w:cs="Arial"/>
          <w:color w:val="000000"/>
        </w:rPr>
        <w:t xml:space="preserve"> </w:t>
      </w:r>
      <w:r w:rsidR="0049757B" w:rsidRPr="00A63883">
        <w:rPr>
          <w:rFonts w:ascii="Arial" w:eastAsia="Arial" w:hAnsi="Arial" w:cs="Arial"/>
          <w:color w:val="000000"/>
        </w:rPr>
        <w:t>the interconnection process to reduce interconnection timelines and expenses.</w:t>
      </w:r>
      <w:r w:rsidR="00CF7D9F" w:rsidRPr="00A63883">
        <w:rPr>
          <w:rFonts w:ascii="Arial" w:eastAsia="Arial" w:hAnsi="Arial" w:cs="Arial"/>
          <w:color w:val="000000"/>
        </w:rPr>
        <w:t xml:space="preserve"> </w:t>
      </w:r>
      <w:r w:rsidR="00017425">
        <w:rPr>
          <w:rFonts w:ascii="Arial" w:eastAsia="Arial" w:hAnsi="Arial" w:cs="Arial"/>
          <w:color w:val="000000"/>
        </w:rPr>
        <w:t xml:space="preserve"> Too often customers and </w:t>
      </w:r>
      <w:r w:rsidR="001E1582">
        <w:rPr>
          <w:rFonts w:ascii="Arial" w:eastAsia="Arial" w:hAnsi="Arial" w:cs="Arial"/>
          <w:color w:val="000000"/>
        </w:rPr>
        <w:t xml:space="preserve">DER </w:t>
      </w:r>
      <w:r w:rsidR="00017425">
        <w:rPr>
          <w:rFonts w:ascii="Arial" w:eastAsia="Arial" w:hAnsi="Arial" w:cs="Arial"/>
          <w:color w:val="000000"/>
        </w:rPr>
        <w:t xml:space="preserve">providers face interconnection delays.  </w:t>
      </w:r>
      <w:r w:rsidR="00A2087C">
        <w:rPr>
          <w:rFonts w:ascii="Arial" w:eastAsia="Arial" w:hAnsi="Arial" w:cs="Arial"/>
          <w:color w:val="000000"/>
        </w:rPr>
        <w:t>In the recent Oncor rate case</w:t>
      </w:r>
      <w:r w:rsidR="00B21999">
        <w:rPr>
          <w:rFonts w:ascii="Arial" w:eastAsia="Arial" w:hAnsi="Arial" w:cs="Arial"/>
          <w:color w:val="000000"/>
        </w:rPr>
        <w:t>,</w:t>
      </w:r>
      <w:r w:rsidR="00A2087C">
        <w:rPr>
          <w:rFonts w:ascii="Arial" w:eastAsia="Arial" w:hAnsi="Arial" w:cs="Arial"/>
          <w:color w:val="000000"/>
        </w:rPr>
        <w:t xml:space="preserve"> the Commission </w:t>
      </w:r>
      <w:r w:rsidR="001A22A5">
        <w:rPr>
          <w:rFonts w:ascii="Arial" w:eastAsia="Arial" w:hAnsi="Arial" w:cs="Arial"/>
          <w:color w:val="000000"/>
        </w:rPr>
        <w:t xml:space="preserve">found that the interconnection processes </w:t>
      </w:r>
      <w:r w:rsidR="00B21999">
        <w:rPr>
          <w:rFonts w:ascii="Arial" w:eastAsia="Arial" w:hAnsi="Arial" w:cs="Arial"/>
          <w:color w:val="000000"/>
        </w:rPr>
        <w:t>could</w:t>
      </w:r>
      <w:r w:rsidR="001A22A5">
        <w:rPr>
          <w:rFonts w:ascii="Arial" w:eastAsia="Arial" w:hAnsi="Arial" w:cs="Arial"/>
          <w:color w:val="000000"/>
        </w:rPr>
        <w:t xml:space="preserve"> be improved</w:t>
      </w:r>
      <w:r w:rsidR="00DA3D50" w:rsidRPr="00A63883">
        <w:rPr>
          <w:rFonts w:ascii="Arial" w:eastAsia="Arial" w:hAnsi="Arial" w:cs="Arial"/>
          <w:color w:val="000000"/>
        </w:rPr>
        <w:t>: “The Commission also recognizes, however, that Oncor could improve timing of, and reduce the delays in, its interconnection process.”</w:t>
      </w:r>
      <w:r w:rsidR="00E16CA1">
        <w:rPr>
          <w:rStyle w:val="FootnoteReference"/>
          <w:rFonts w:ascii="Arial" w:eastAsia="Arial" w:hAnsi="Arial" w:cs="Arial"/>
          <w:color w:val="000000"/>
        </w:rPr>
        <w:footnoteReference w:id="1"/>
      </w:r>
      <w:r w:rsidR="00DA3D50" w:rsidRPr="00A63883">
        <w:rPr>
          <w:rFonts w:ascii="Arial" w:eastAsia="Arial" w:hAnsi="Arial" w:cs="Arial"/>
          <w:color w:val="000000"/>
        </w:rPr>
        <w:t xml:space="preserve">  </w:t>
      </w:r>
    </w:p>
    <w:p w14:paraId="546F2834" w14:textId="3FE3760F" w:rsidR="008433C6" w:rsidRPr="001774C5" w:rsidRDefault="008433C6" w:rsidP="001774C5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="360" w:hanging="360"/>
        <w:jc w:val="center"/>
        <w:rPr>
          <w:rFonts w:ascii="Arial" w:eastAsia="Arial" w:hAnsi="Arial" w:cs="Arial"/>
          <w:b/>
          <w:bCs/>
          <w:color w:val="000000"/>
        </w:rPr>
      </w:pPr>
      <w:r w:rsidRPr="001774C5">
        <w:rPr>
          <w:rFonts w:ascii="Arial" w:eastAsia="Arial" w:hAnsi="Arial" w:cs="Arial"/>
          <w:b/>
          <w:bCs/>
          <w:color w:val="000000"/>
        </w:rPr>
        <w:t>Hosting Capacity Analysis</w:t>
      </w:r>
    </w:p>
    <w:p w14:paraId="6BE62CDE" w14:textId="21E6C812" w:rsidR="002575C8" w:rsidRPr="00A63883" w:rsidRDefault="00095679" w:rsidP="00095679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  <w:t xml:space="preserve">One way to increase the efficiency and transparency of the interconnection process </w:t>
      </w:r>
      <w:r w:rsidR="00183F1F">
        <w:rPr>
          <w:rFonts w:ascii="Arial" w:eastAsia="Arial" w:hAnsi="Arial" w:cs="Arial"/>
          <w:color w:val="000000"/>
        </w:rPr>
        <w:t xml:space="preserve">and reduce delays </w:t>
      </w:r>
      <w:r w:rsidRPr="00A63883">
        <w:rPr>
          <w:rFonts w:ascii="Arial" w:eastAsia="Arial" w:hAnsi="Arial" w:cs="Arial"/>
          <w:color w:val="000000"/>
        </w:rPr>
        <w:t>is to require utilities to perform hosting capacity analysis</w:t>
      </w:r>
      <w:r w:rsidR="00F40AF3" w:rsidRPr="00A63883">
        <w:rPr>
          <w:rFonts w:ascii="Arial" w:eastAsia="Arial" w:hAnsi="Arial" w:cs="Arial"/>
          <w:color w:val="000000"/>
        </w:rPr>
        <w:t xml:space="preserve"> (HCA). </w:t>
      </w:r>
      <w:r w:rsidR="00B53532" w:rsidRPr="00A63883">
        <w:rPr>
          <w:rFonts w:ascii="Arial" w:eastAsia="Arial" w:hAnsi="Arial" w:cs="Arial"/>
          <w:color w:val="000000"/>
        </w:rPr>
        <w:t xml:space="preserve"> </w:t>
      </w:r>
      <w:r w:rsidR="00641E52" w:rsidRPr="00A63883">
        <w:rPr>
          <w:rFonts w:ascii="Arial" w:eastAsia="Arial" w:hAnsi="Arial" w:cs="Arial"/>
          <w:color w:val="000000"/>
        </w:rPr>
        <w:t xml:space="preserve">As announced at the </w:t>
      </w:r>
      <w:r w:rsidR="00785B57" w:rsidRPr="00A63883">
        <w:rPr>
          <w:rFonts w:ascii="Arial" w:eastAsia="Arial" w:hAnsi="Arial" w:cs="Arial"/>
          <w:color w:val="000000"/>
        </w:rPr>
        <w:t xml:space="preserve">July 14, 2023 Workshop, </w:t>
      </w:r>
      <w:r w:rsidR="00F40AF3" w:rsidRPr="00A63883">
        <w:rPr>
          <w:rFonts w:ascii="Arial" w:eastAsia="Arial" w:hAnsi="Arial" w:cs="Arial"/>
          <w:color w:val="000000"/>
        </w:rPr>
        <w:t xml:space="preserve">TSPA looks forward to </w:t>
      </w:r>
      <w:r w:rsidR="007F460B" w:rsidRPr="00A63883">
        <w:rPr>
          <w:rFonts w:ascii="Arial" w:eastAsia="Arial" w:hAnsi="Arial" w:cs="Arial"/>
          <w:color w:val="000000"/>
        </w:rPr>
        <w:t xml:space="preserve">creating a joint task force </w:t>
      </w:r>
      <w:r w:rsidR="00E14714" w:rsidRPr="00A63883">
        <w:rPr>
          <w:rFonts w:ascii="Arial" w:eastAsia="Arial" w:hAnsi="Arial" w:cs="Arial"/>
          <w:color w:val="000000"/>
        </w:rPr>
        <w:t xml:space="preserve">with the utilities and other interested parties to discuss </w:t>
      </w:r>
      <w:r w:rsidR="004049B9">
        <w:rPr>
          <w:rFonts w:ascii="Arial" w:eastAsia="Arial" w:hAnsi="Arial" w:cs="Arial"/>
          <w:color w:val="000000"/>
        </w:rPr>
        <w:t xml:space="preserve">issues pertaining to </w:t>
      </w:r>
      <w:r w:rsidR="00956FF9" w:rsidRPr="00A63883">
        <w:rPr>
          <w:rFonts w:ascii="Arial" w:eastAsia="Arial" w:hAnsi="Arial" w:cs="Arial"/>
          <w:color w:val="000000"/>
        </w:rPr>
        <w:t>HCA</w:t>
      </w:r>
      <w:r w:rsidR="004F4E5A" w:rsidRPr="00A63883">
        <w:rPr>
          <w:rFonts w:ascii="Arial" w:eastAsia="Arial" w:hAnsi="Arial" w:cs="Arial"/>
          <w:color w:val="000000"/>
        </w:rPr>
        <w:t xml:space="preserve"> </w:t>
      </w:r>
      <w:r w:rsidR="00FF2C54">
        <w:rPr>
          <w:rFonts w:ascii="Arial" w:eastAsia="Arial" w:hAnsi="Arial" w:cs="Arial"/>
          <w:color w:val="000000"/>
        </w:rPr>
        <w:t>(e.g.</w:t>
      </w:r>
      <w:r w:rsidR="00DF5488">
        <w:rPr>
          <w:rFonts w:ascii="Arial" w:eastAsia="Arial" w:hAnsi="Arial" w:cs="Arial"/>
          <w:color w:val="000000"/>
        </w:rPr>
        <w:t>,</w:t>
      </w:r>
      <w:r w:rsidR="00FF2C54">
        <w:rPr>
          <w:rFonts w:ascii="Arial" w:eastAsia="Arial" w:hAnsi="Arial" w:cs="Arial"/>
          <w:color w:val="000000"/>
        </w:rPr>
        <w:t xml:space="preserve"> identification of use cases, modeling methodologies, mapping</w:t>
      </w:r>
      <w:r w:rsidR="004049B9">
        <w:rPr>
          <w:rFonts w:ascii="Arial" w:eastAsia="Arial" w:hAnsi="Arial" w:cs="Arial"/>
          <w:color w:val="000000"/>
        </w:rPr>
        <w:t xml:space="preserve"> and updating</w:t>
      </w:r>
      <w:r w:rsidR="00FF2C54">
        <w:rPr>
          <w:rFonts w:ascii="Arial" w:eastAsia="Arial" w:hAnsi="Arial" w:cs="Arial"/>
          <w:color w:val="000000"/>
        </w:rPr>
        <w:t xml:space="preserve">, </w:t>
      </w:r>
      <w:r w:rsidR="00E84832">
        <w:rPr>
          <w:rFonts w:ascii="Arial" w:eastAsia="Arial" w:hAnsi="Arial" w:cs="Arial"/>
          <w:color w:val="000000"/>
        </w:rPr>
        <w:t>forecasting expected growth, gri</w:t>
      </w:r>
      <w:r w:rsidR="00B91764">
        <w:rPr>
          <w:rFonts w:ascii="Arial" w:eastAsia="Arial" w:hAnsi="Arial" w:cs="Arial"/>
          <w:color w:val="000000"/>
        </w:rPr>
        <w:t xml:space="preserve">d upgrades needed to supported and integrate DERs, </w:t>
      </w:r>
      <w:r w:rsidR="00B91764">
        <w:rPr>
          <w:rFonts w:ascii="Arial" w:eastAsia="Arial" w:hAnsi="Arial" w:cs="Arial"/>
          <w:color w:val="000000"/>
        </w:rPr>
        <w:lastRenderedPageBreak/>
        <w:t>data validation,</w:t>
      </w:r>
      <w:r w:rsidR="004049B9">
        <w:rPr>
          <w:rFonts w:ascii="Arial" w:eastAsia="Arial" w:hAnsi="Arial" w:cs="Arial"/>
          <w:color w:val="000000"/>
        </w:rPr>
        <w:t xml:space="preserve"> and </w:t>
      </w:r>
      <w:r w:rsidR="00B91764">
        <w:rPr>
          <w:rFonts w:ascii="Arial" w:eastAsia="Arial" w:hAnsi="Arial" w:cs="Arial"/>
          <w:color w:val="000000"/>
        </w:rPr>
        <w:t xml:space="preserve">data privacy and security) </w:t>
      </w:r>
      <w:r w:rsidR="004F4E5A" w:rsidRPr="00A63883">
        <w:rPr>
          <w:rFonts w:ascii="Arial" w:eastAsia="Arial" w:hAnsi="Arial" w:cs="Arial"/>
          <w:color w:val="000000"/>
        </w:rPr>
        <w:t xml:space="preserve">and report back to the Commission the results of these discussions. </w:t>
      </w:r>
      <w:r w:rsidR="00B53532" w:rsidRPr="00A63883">
        <w:rPr>
          <w:rFonts w:ascii="Arial" w:eastAsia="Arial" w:hAnsi="Arial" w:cs="Arial"/>
          <w:color w:val="000000"/>
        </w:rPr>
        <w:t xml:space="preserve"> </w:t>
      </w:r>
    </w:p>
    <w:p w14:paraId="22687FDB" w14:textId="7056933F" w:rsidR="008A3CF5" w:rsidRPr="00A63883" w:rsidRDefault="004F4E5A" w:rsidP="00CC4BC6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 xml:space="preserve"> </w:t>
      </w:r>
      <w:r w:rsidR="003B54B8" w:rsidRPr="00A63883">
        <w:rPr>
          <w:rFonts w:ascii="Arial" w:eastAsia="Arial" w:hAnsi="Arial" w:cs="Arial"/>
          <w:color w:val="000000"/>
        </w:rPr>
        <w:tab/>
      </w:r>
      <w:r w:rsidR="008A3CF5" w:rsidRPr="00A63883">
        <w:rPr>
          <w:rFonts w:ascii="Arial" w:eastAsia="Arial" w:hAnsi="Arial" w:cs="Arial"/>
          <w:color w:val="000000"/>
        </w:rPr>
        <w:t xml:space="preserve">The purpose of an HCA is to provide a streamlined approach that helps DERs, utilities, and regulators make more proactive, cost-effective, and efficient decisions about DER investments and upgrades to existing facilities.  The HCA will provide greater transparency about the technical and commercial feasibility of possible points of interconnection sites and </w:t>
      </w:r>
      <w:r w:rsidR="00562845" w:rsidRPr="00A63883">
        <w:rPr>
          <w:rFonts w:ascii="Arial" w:eastAsia="Arial" w:hAnsi="Arial" w:cs="Arial"/>
          <w:color w:val="000000"/>
        </w:rPr>
        <w:t xml:space="preserve">provide </w:t>
      </w:r>
      <w:r w:rsidR="008A3CF5" w:rsidRPr="00A63883">
        <w:rPr>
          <w:rFonts w:ascii="Arial" w:eastAsia="Arial" w:hAnsi="Arial" w:cs="Arial"/>
          <w:color w:val="000000"/>
        </w:rPr>
        <w:t>vital information to assist with grid planning.</w:t>
      </w:r>
      <w:r w:rsidR="00CC4BC6" w:rsidRPr="00A63883">
        <w:rPr>
          <w:rFonts w:ascii="Arial" w:eastAsia="Arial" w:hAnsi="Arial" w:cs="Arial"/>
          <w:color w:val="000000"/>
        </w:rPr>
        <w:t xml:space="preserve">  </w:t>
      </w:r>
      <w:r w:rsidR="008A3CF5" w:rsidRPr="00A63883">
        <w:rPr>
          <w:rFonts w:ascii="Arial" w:eastAsia="Arial" w:hAnsi="Arial" w:cs="Arial"/>
          <w:color w:val="000000"/>
        </w:rPr>
        <w:t>The objective of the HCA is to simulate the ability of individual distribution circuits to accommodate additional DERs</w:t>
      </w:r>
      <w:r w:rsidR="00EE7787">
        <w:rPr>
          <w:rFonts w:ascii="Arial" w:eastAsia="Arial" w:hAnsi="Arial" w:cs="Arial"/>
          <w:color w:val="000000"/>
        </w:rPr>
        <w:t>,</w:t>
      </w:r>
      <w:r w:rsidR="008A3CF5" w:rsidRPr="00A63883">
        <w:rPr>
          <w:rFonts w:ascii="Arial" w:eastAsia="Arial" w:hAnsi="Arial" w:cs="Arial"/>
          <w:color w:val="000000"/>
        </w:rPr>
        <w:t xml:space="preserve"> without requiring significant upgrades</w:t>
      </w:r>
      <w:r w:rsidR="00EE7787">
        <w:rPr>
          <w:rFonts w:ascii="Arial" w:eastAsia="Arial" w:hAnsi="Arial" w:cs="Arial"/>
          <w:color w:val="000000"/>
        </w:rPr>
        <w:t>,</w:t>
      </w:r>
      <w:r w:rsidR="008A3CF5" w:rsidRPr="00A63883">
        <w:rPr>
          <w:rFonts w:ascii="Arial" w:eastAsia="Arial" w:hAnsi="Arial" w:cs="Arial"/>
          <w:color w:val="000000"/>
        </w:rPr>
        <w:t xml:space="preserve"> </w:t>
      </w:r>
      <w:r w:rsidR="00EE7787">
        <w:rPr>
          <w:rFonts w:ascii="Arial" w:eastAsia="Arial" w:hAnsi="Arial" w:cs="Arial"/>
          <w:color w:val="000000"/>
        </w:rPr>
        <w:t>to</w:t>
      </w:r>
      <w:r w:rsidR="008A3CF5" w:rsidRPr="00A63883">
        <w:rPr>
          <w:rFonts w:ascii="Arial" w:eastAsia="Arial" w:hAnsi="Arial" w:cs="Arial"/>
          <w:color w:val="000000"/>
        </w:rPr>
        <w:t xml:space="preserve"> ensure system safety and reliability.  This helps eliminate unnecessary interconnection applications and reduces the interconnection time and expense for both DERs and utilities.  </w:t>
      </w:r>
    </w:p>
    <w:p w14:paraId="2885C309" w14:textId="30ACCB0B" w:rsidR="008A3CF5" w:rsidRPr="00A63883" w:rsidRDefault="008A3CF5" w:rsidP="00762ED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 xml:space="preserve">The HCA is a modeling exercise </w:t>
      </w:r>
      <w:r w:rsidR="00CA3E38" w:rsidRPr="00A63883">
        <w:rPr>
          <w:rFonts w:ascii="Arial" w:eastAsia="Arial" w:hAnsi="Arial" w:cs="Arial"/>
          <w:color w:val="000000"/>
        </w:rPr>
        <w:t>that considers the</w:t>
      </w:r>
      <w:r w:rsidR="00A93D51" w:rsidRPr="00A63883">
        <w:rPr>
          <w:rFonts w:ascii="Arial" w:eastAsia="Arial" w:hAnsi="Arial" w:cs="Arial"/>
          <w:color w:val="000000"/>
        </w:rPr>
        <w:t xml:space="preserve"> </w:t>
      </w:r>
      <w:r w:rsidRPr="00A63883">
        <w:rPr>
          <w:rFonts w:ascii="Arial" w:eastAsia="Arial" w:hAnsi="Arial" w:cs="Arial"/>
          <w:color w:val="000000"/>
        </w:rPr>
        <w:t>physical infrastructure</w:t>
      </w:r>
      <w:r w:rsidR="00FB6A07" w:rsidRPr="00A63883">
        <w:rPr>
          <w:rFonts w:ascii="Arial" w:eastAsia="Arial" w:hAnsi="Arial" w:cs="Arial"/>
          <w:color w:val="000000"/>
        </w:rPr>
        <w:t xml:space="preserve">, </w:t>
      </w:r>
      <w:r w:rsidR="00A93D51" w:rsidRPr="00A63883">
        <w:rPr>
          <w:rFonts w:ascii="Arial" w:eastAsia="Arial" w:hAnsi="Arial" w:cs="Arial"/>
          <w:color w:val="000000"/>
        </w:rPr>
        <w:t>load</w:t>
      </w:r>
      <w:r w:rsidR="00FB6A07" w:rsidRPr="00A63883">
        <w:rPr>
          <w:rFonts w:ascii="Arial" w:eastAsia="Arial" w:hAnsi="Arial" w:cs="Arial"/>
          <w:color w:val="000000"/>
        </w:rPr>
        <w:t xml:space="preserve">, </w:t>
      </w:r>
      <w:r w:rsidRPr="00A63883">
        <w:rPr>
          <w:rFonts w:ascii="Arial" w:eastAsia="Arial" w:hAnsi="Arial" w:cs="Arial"/>
          <w:color w:val="000000"/>
        </w:rPr>
        <w:t>and existing generators and load control measures</w:t>
      </w:r>
      <w:r w:rsidR="00CA3E38" w:rsidRPr="00A63883">
        <w:rPr>
          <w:rFonts w:ascii="Arial" w:eastAsia="Arial" w:hAnsi="Arial" w:cs="Arial"/>
          <w:color w:val="000000"/>
        </w:rPr>
        <w:t xml:space="preserve"> on the distribution system</w:t>
      </w:r>
      <w:r w:rsidR="008D1C3B" w:rsidRPr="00A63883">
        <w:rPr>
          <w:rFonts w:ascii="Arial" w:eastAsia="Arial" w:hAnsi="Arial" w:cs="Arial"/>
          <w:color w:val="000000"/>
        </w:rPr>
        <w:t xml:space="preserve">. </w:t>
      </w:r>
      <w:r w:rsidRPr="00A63883">
        <w:rPr>
          <w:rFonts w:ascii="Arial" w:eastAsia="Arial" w:hAnsi="Arial" w:cs="Arial"/>
          <w:color w:val="000000"/>
        </w:rPr>
        <w:t>This data is input into a model to create a “base case” for existing grid conditions, and then simulations are run in order to see how the grid would perform if new DERs were added.</w:t>
      </w:r>
      <w:r w:rsidR="00D2015E" w:rsidRPr="00A63883">
        <w:rPr>
          <w:rFonts w:ascii="Arial" w:eastAsia="Arial" w:hAnsi="Arial" w:cs="Arial"/>
          <w:color w:val="000000"/>
        </w:rPr>
        <w:t xml:space="preserve"> The results of the HCA are</w:t>
      </w:r>
      <w:r w:rsidR="00762EDE" w:rsidRPr="00A63883">
        <w:rPr>
          <w:rFonts w:ascii="Arial" w:eastAsia="Arial" w:hAnsi="Arial" w:cs="Arial"/>
          <w:color w:val="000000"/>
        </w:rPr>
        <w:t xml:space="preserve"> displayed in the form of maps which </w:t>
      </w:r>
      <w:r w:rsidR="00D13829" w:rsidRPr="00A63883">
        <w:rPr>
          <w:rFonts w:ascii="Arial" w:eastAsia="Arial" w:hAnsi="Arial" w:cs="Arial"/>
          <w:color w:val="000000"/>
        </w:rPr>
        <w:t>help</w:t>
      </w:r>
      <w:r w:rsidRPr="00A63883">
        <w:rPr>
          <w:rFonts w:ascii="Arial" w:eastAsia="Arial" w:hAnsi="Arial" w:cs="Arial"/>
          <w:color w:val="000000"/>
        </w:rPr>
        <w:t xml:space="preserve"> DERs to interconnect quickly and affordably.  HCAs also help identify areas where DERs may be able to provide </w:t>
      </w:r>
      <w:r w:rsidR="002F4FD2" w:rsidRPr="00A63883">
        <w:rPr>
          <w:rFonts w:ascii="Arial" w:eastAsia="Arial" w:hAnsi="Arial" w:cs="Arial"/>
          <w:color w:val="000000"/>
        </w:rPr>
        <w:t>service</w:t>
      </w:r>
      <w:r w:rsidRPr="00A63883">
        <w:rPr>
          <w:rFonts w:ascii="Arial" w:eastAsia="Arial" w:hAnsi="Arial" w:cs="Arial"/>
          <w:color w:val="000000"/>
        </w:rPr>
        <w:t xml:space="preserve"> </w:t>
      </w:r>
      <w:r w:rsidR="002F4FD2" w:rsidRPr="00A63883">
        <w:rPr>
          <w:rFonts w:ascii="Arial" w:eastAsia="Arial" w:hAnsi="Arial" w:cs="Arial"/>
          <w:color w:val="000000"/>
        </w:rPr>
        <w:t>to address</w:t>
      </w:r>
      <w:r w:rsidRPr="00A63883">
        <w:rPr>
          <w:rFonts w:ascii="Arial" w:eastAsia="Arial" w:hAnsi="Arial" w:cs="Arial"/>
          <w:color w:val="000000"/>
        </w:rPr>
        <w:t xml:space="preserve"> existing grid constraints</w:t>
      </w:r>
      <w:r w:rsidR="00D67618" w:rsidRPr="00A63883">
        <w:rPr>
          <w:rFonts w:ascii="Arial" w:eastAsia="Arial" w:hAnsi="Arial" w:cs="Arial"/>
          <w:color w:val="000000"/>
        </w:rPr>
        <w:t>.</w:t>
      </w:r>
    </w:p>
    <w:p w14:paraId="2E98017E" w14:textId="2048710B" w:rsidR="008A3CF5" w:rsidRPr="00A63883" w:rsidRDefault="008A3CF5" w:rsidP="00D67618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 xml:space="preserve">HCAs are being deployed across the United States as part of broader grid modernization or distribution planning efforts. Currently, </w:t>
      </w:r>
      <w:r w:rsidR="00490053" w:rsidRPr="00A63883">
        <w:rPr>
          <w:rFonts w:ascii="Arial" w:eastAsia="Arial" w:hAnsi="Arial" w:cs="Arial"/>
          <w:color w:val="000000"/>
        </w:rPr>
        <w:t xml:space="preserve">utilities in at </w:t>
      </w:r>
      <w:r w:rsidRPr="00A63883">
        <w:rPr>
          <w:rFonts w:ascii="Arial" w:eastAsia="Arial" w:hAnsi="Arial" w:cs="Arial"/>
          <w:color w:val="000000"/>
        </w:rPr>
        <w:t xml:space="preserve">least twelve states produce hosting capacity maps: California, Colorado, Hawaii, Illinois, Massachusetts, Minnesota, Nevada, New Hampshire, New York, Maryland, New Jersey, and Connecticut. In fact, XCEL Energy (the parent company of Southwestern Public Service Company in </w:t>
      </w:r>
      <w:r w:rsidRPr="00A63883">
        <w:rPr>
          <w:rFonts w:ascii="Arial" w:eastAsia="Arial" w:hAnsi="Arial" w:cs="Arial"/>
          <w:color w:val="000000"/>
        </w:rPr>
        <w:lastRenderedPageBreak/>
        <w:t>Texas) already provides hosting capacity maps for Minnesota and Colorado customers and SDGE (an Oncor affiliate) provides maps in California</w:t>
      </w:r>
      <w:r w:rsidR="00AB3FD0" w:rsidRPr="00A63883">
        <w:rPr>
          <w:rFonts w:ascii="Arial" w:eastAsia="Arial" w:hAnsi="Arial" w:cs="Arial"/>
          <w:color w:val="000000"/>
        </w:rPr>
        <w:t>.</w:t>
      </w:r>
    </w:p>
    <w:p w14:paraId="13ADCA92" w14:textId="12FD8B12" w:rsidR="00842A24" w:rsidRPr="00A63883" w:rsidRDefault="00982C9B" w:rsidP="00982C9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 xml:space="preserve">The National Association of Regulatory Utility Commissioners (NARUC) Center for Partnerships &amp; Innovation is leading a new “Grid Data Sharing Collaborative” initiative </w:t>
      </w:r>
      <w:r w:rsidR="00215687" w:rsidRPr="00A63883">
        <w:rPr>
          <w:rFonts w:ascii="Arial" w:eastAsia="Arial" w:hAnsi="Arial" w:cs="Arial"/>
          <w:color w:val="000000"/>
        </w:rPr>
        <w:t xml:space="preserve">which will </w:t>
      </w:r>
      <w:r w:rsidR="00C41D05" w:rsidRPr="00A63883">
        <w:rPr>
          <w:rFonts w:ascii="Arial" w:eastAsia="Arial" w:hAnsi="Arial" w:cs="Arial"/>
          <w:color w:val="000000"/>
        </w:rPr>
        <w:t>provide information for</w:t>
      </w:r>
      <w:r w:rsidR="00B2323A" w:rsidRPr="00A63883">
        <w:rPr>
          <w:rFonts w:ascii="Arial" w:eastAsia="Arial" w:hAnsi="Arial" w:cs="Arial"/>
          <w:color w:val="000000"/>
        </w:rPr>
        <w:t xml:space="preserve"> states, utili</w:t>
      </w:r>
      <w:r w:rsidR="00304FCE">
        <w:rPr>
          <w:rFonts w:ascii="Arial" w:eastAsia="Arial" w:hAnsi="Arial" w:cs="Arial"/>
          <w:color w:val="000000"/>
        </w:rPr>
        <w:t>ties</w:t>
      </w:r>
      <w:r w:rsidR="00C46C2D">
        <w:rPr>
          <w:rFonts w:ascii="Arial" w:eastAsia="Arial" w:hAnsi="Arial" w:cs="Arial"/>
          <w:color w:val="000000"/>
        </w:rPr>
        <w:t>,</w:t>
      </w:r>
      <w:r w:rsidR="00B2323A" w:rsidRPr="00A63883">
        <w:rPr>
          <w:rFonts w:ascii="Arial" w:eastAsia="Arial" w:hAnsi="Arial" w:cs="Arial"/>
          <w:color w:val="000000"/>
        </w:rPr>
        <w:t xml:space="preserve"> and DERs </w:t>
      </w:r>
      <w:r w:rsidR="00C41D05" w:rsidRPr="00A63883">
        <w:rPr>
          <w:rFonts w:ascii="Arial" w:eastAsia="Arial" w:hAnsi="Arial" w:cs="Arial"/>
          <w:color w:val="000000"/>
        </w:rPr>
        <w:t xml:space="preserve">regarding </w:t>
      </w:r>
      <w:r w:rsidR="00F543F1" w:rsidRPr="00A63883">
        <w:rPr>
          <w:rFonts w:ascii="Arial" w:eastAsia="Arial" w:hAnsi="Arial" w:cs="Arial"/>
          <w:color w:val="000000"/>
        </w:rPr>
        <w:t>HCA</w:t>
      </w:r>
      <w:r w:rsidRPr="00A63883">
        <w:rPr>
          <w:rFonts w:ascii="Arial" w:eastAsia="Arial" w:hAnsi="Arial" w:cs="Arial"/>
          <w:color w:val="000000"/>
        </w:rPr>
        <w:t xml:space="preserve"> and grid data sharing</w:t>
      </w:r>
      <w:r w:rsidR="00C41D05" w:rsidRPr="00A63883">
        <w:rPr>
          <w:rFonts w:ascii="Arial" w:eastAsia="Arial" w:hAnsi="Arial" w:cs="Arial"/>
          <w:color w:val="000000"/>
        </w:rPr>
        <w:t xml:space="preserve"> issues</w:t>
      </w:r>
      <w:r w:rsidRPr="00A63883">
        <w:rPr>
          <w:rFonts w:ascii="Arial" w:eastAsia="Arial" w:hAnsi="Arial" w:cs="Arial"/>
          <w:color w:val="000000"/>
        </w:rPr>
        <w:t xml:space="preserve">.  </w:t>
      </w:r>
      <w:r w:rsidR="00781303">
        <w:rPr>
          <w:rFonts w:ascii="Arial" w:eastAsia="Arial" w:hAnsi="Arial" w:cs="Arial"/>
          <w:color w:val="000000"/>
        </w:rPr>
        <w:t>This</w:t>
      </w:r>
      <w:r w:rsidRPr="00A63883">
        <w:rPr>
          <w:rFonts w:ascii="Arial" w:eastAsia="Arial" w:hAnsi="Arial" w:cs="Arial"/>
          <w:color w:val="000000"/>
        </w:rPr>
        <w:t xml:space="preserve"> NARUC-led Collaborative published a report in 2022 </w:t>
      </w:r>
      <w:r w:rsidR="00781303">
        <w:rPr>
          <w:rFonts w:ascii="Arial" w:eastAsia="Arial" w:hAnsi="Arial" w:cs="Arial"/>
          <w:color w:val="000000"/>
        </w:rPr>
        <w:t xml:space="preserve">which </w:t>
      </w:r>
      <w:r w:rsidRPr="00A63883">
        <w:rPr>
          <w:rFonts w:ascii="Arial" w:eastAsia="Arial" w:hAnsi="Arial" w:cs="Arial"/>
          <w:color w:val="000000"/>
        </w:rPr>
        <w:t>identif</w:t>
      </w:r>
      <w:r w:rsidR="00781303">
        <w:rPr>
          <w:rFonts w:ascii="Arial" w:eastAsia="Arial" w:hAnsi="Arial" w:cs="Arial"/>
          <w:color w:val="000000"/>
        </w:rPr>
        <w:t>ied and discussed</w:t>
      </w:r>
      <w:r w:rsidRPr="00A63883">
        <w:rPr>
          <w:rFonts w:ascii="Arial" w:eastAsia="Arial" w:hAnsi="Arial" w:cs="Arial"/>
          <w:color w:val="000000"/>
        </w:rPr>
        <w:t xml:space="preserve"> current state activit</w:t>
      </w:r>
      <w:r w:rsidR="00921C70">
        <w:rPr>
          <w:rFonts w:ascii="Arial" w:eastAsia="Arial" w:hAnsi="Arial" w:cs="Arial"/>
          <w:color w:val="000000"/>
        </w:rPr>
        <w:t>ies regarding HCA and the sharing of that data with the public</w:t>
      </w:r>
      <w:r w:rsidR="009B3F37" w:rsidRPr="00A63883">
        <w:rPr>
          <w:rFonts w:ascii="Arial" w:eastAsia="Arial" w:hAnsi="Arial" w:cs="Arial"/>
          <w:color w:val="000000"/>
        </w:rPr>
        <w:t>.</w:t>
      </w:r>
      <w:r w:rsidR="00F22832" w:rsidRPr="00A63883">
        <w:rPr>
          <w:rStyle w:val="FootnoteReference"/>
          <w:rFonts w:ascii="Arial" w:eastAsia="Arial" w:hAnsi="Arial" w:cs="Arial"/>
          <w:color w:val="000000"/>
        </w:rPr>
        <w:footnoteReference w:id="2"/>
      </w:r>
      <w:r w:rsidRPr="00A63883">
        <w:rPr>
          <w:rFonts w:ascii="Arial" w:eastAsia="Arial" w:hAnsi="Arial" w:cs="Arial"/>
          <w:color w:val="000000"/>
        </w:rPr>
        <w:t xml:space="preserve">  </w:t>
      </w:r>
      <w:r w:rsidR="004E6A59" w:rsidRPr="00A63883">
        <w:rPr>
          <w:rFonts w:ascii="Arial" w:eastAsia="Arial" w:hAnsi="Arial" w:cs="Arial"/>
          <w:color w:val="000000"/>
        </w:rPr>
        <w:t>NARUC also</w:t>
      </w:r>
      <w:r w:rsidRPr="00A63883">
        <w:rPr>
          <w:rFonts w:ascii="Arial" w:eastAsia="Arial" w:hAnsi="Arial" w:cs="Arial"/>
          <w:color w:val="000000"/>
        </w:rPr>
        <w:t xml:space="preserve"> announced that it will be </w:t>
      </w:r>
      <w:r w:rsidR="00871E26">
        <w:rPr>
          <w:rFonts w:ascii="Arial" w:eastAsia="Arial" w:hAnsi="Arial" w:cs="Arial"/>
          <w:color w:val="000000"/>
        </w:rPr>
        <w:t>distributing</w:t>
      </w:r>
      <w:r w:rsidRPr="00A63883">
        <w:rPr>
          <w:rFonts w:ascii="Arial" w:eastAsia="Arial" w:hAnsi="Arial" w:cs="Arial"/>
          <w:color w:val="000000"/>
        </w:rPr>
        <w:t xml:space="preserve"> a grid-sharing framework in 2023 </w:t>
      </w:r>
      <w:r w:rsidR="004E6A59" w:rsidRPr="00A63883">
        <w:rPr>
          <w:rFonts w:ascii="Arial" w:eastAsia="Arial" w:hAnsi="Arial" w:cs="Arial"/>
          <w:color w:val="000000"/>
        </w:rPr>
        <w:t xml:space="preserve">that states will be able to use and </w:t>
      </w:r>
      <w:r w:rsidRPr="00A63883">
        <w:rPr>
          <w:rFonts w:ascii="Arial" w:eastAsia="Arial" w:hAnsi="Arial" w:cs="Arial"/>
          <w:color w:val="000000"/>
        </w:rPr>
        <w:t>tailor to their own goals and priorities.</w:t>
      </w:r>
      <w:r w:rsidR="005A152E" w:rsidRPr="00A63883">
        <w:rPr>
          <w:rFonts w:ascii="Arial" w:eastAsia="Arial" w:hAnsi="Arial" w:cs="Arial"/>
          <w:color w:val="000000"/>
        </w:rPr>
        <w:t xml:space="preserve">  TSPA looks forward to reviewing and discussing the 2023 Report </w:t>
      </w:r>
      <w:r w:rsidR="002D5043" w:rsidRPr="00A63883">
        <w:rPr>
          <w:rFonts w:ascii="Arial" w:eastAsia="Arial" w:hAnsi="Arial" w:cs="Arial"/>
          <w:color w:val="000000"/>
        </w:rPr>
        <w:t>with Staff and stakeholders once it is released.</w:t>
      </w:r>
    </w:p>
    <w:p w14:paraId="36161302" w14:textId="316D7389" w:rsidR="00982C9B" w:rsidRDefault="00A8378D" w:rsidP="00982C9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 xml:space="preserve">For further information regarding HCA issues, </w:t>
      </w:r>
      <w:r w:rsidR="00842A24" w:rsidRPr="00A63883">
        <w:rPr>
          <w:rFonts w:ascii="Arial" w:eastAsia="Arial" w:hAnsi="Arial" w:cs="Arial"/>
          <w:color w:val="000000"/>
        </w:rPr>
        <w:t xml:space="preserve">TSPA </w:t>
      </w:r>
      <w:r w:rsidR="00C46C2D">
        <w:rPr>
          <w:rFonts w:ascii="Arial" w:eastAsia="Arial" w:hAnsi="Arial" w:cs="Arial"/>
          <w:color w:val="000000"/>
        </w:rPr>
        <w:t xml:space="preserve">also </w:t>
      </w:r>
      <w:r w:rsidR="00842A24" w:rsidRPr="00A63883">
        <w:rPr>
          <w:rFonts w:ascii="Arial" w:eastAsia="Arial" w:hAnsi="Arial" w:cs="Arial"/>
          <w:color w:val="000000"/>
        </w:rPr>
        <w:t>recommends</w:t>
      </w:r>
      <w:r w:rsidR="00BA07C4" w:rsidRPr="00A63883">
        <w:rPr>
          <w:rFonts w:ascii="Arial" w:eastAsia="Arial" w:hAnsi="Arial" w:cs="Arial"/>
          <w:color w:val="000000"/>
        </w:rPr>
        <w:t xml:space="preserve"> </w:t>
      </w:r>
      <w:r w:rsidR="00842A24" w:rsidRPr="00A63883">
        <w:rPr>
          <w:rFonts w:ascii="Arial" w:eastAsia="Arial" w:hAnsi="Arial" w:cs="Arial"/>
          <w:color w:val="000000"/>
        </w:rPr>
        <w:t xml:space="preserve">a review of </w:t>
      </w:r>
      <w:r w:rsidR="00690423" w:rsidRPr="00A63883">
        <w:rPr>
          <w:rFonts w:ascii="Arial" w:eastAsia="Arial" w:hAnsi="Arial" w:cs="Arial"/>
          <w:color w:val="000000"/>
        </w:rPr>
        <w:t xml:space="preserve">the </w:t>
      </w:r>
      <w:r w:rsidR="00C305AE" w:rsidRPr="00A63883">
        <w:rPr>
          <w:rFonts w:ascii="Arial" w:eastAsia="Arial" w:hAnsi="Arial" w:cs="Arial"/>
          <w:color w:val="000000"/>
        </w:rPr>
        <w:t xml:space="preserve">2021 </w:t>
      </w:r>
      <w:r w:rsidR="00A63883" w:rsidRPr="00A63883">
        <w:rPr>
          <w:rFonts w:ascii="Arial" w:eastAsia="Arial" w:hAnsi="Arial" w:cs="Arial"/>
          <w:color w:val="000000"/>
        </w:rPr>
        <w:t>r</w:t>
      </w:r>
      <w:r w:rsidR="00690423" w:rsidRPr="00A63883">
        <w:rPr>
          <w:rFonts w:ascii="Arial" w:eastAsia="Arial" w:hAnsi="Arial" w:cs="Arial"/>
          <w:color w:val="000000"/>
        </w:rPr>
        <w:t xml:space="preserve">eport </w:t>
      </w:r>
      <w:r w:rsidR="00A63883" w:rsidRPr="00A63883">
        <w:rPr>
          <w:rFonts w:ascii="Arial" w:hAnsi="Arial" w:cs="Arial"/>
          <w:i/>
          <w:iCs/>
        </w:rPr>
        <w:t>Hosting Capacity Analysis and Distribution Grid Data Security</w:t>
      </w:r>
      <w:r w:rsidR="00A63883" w:rsidRPr="00A63883">
        <w:rPr>
          <w:rFonts w:ascii="Arial" w:eastAsia="Arial" w:hAnsi="Arial" w:cs="Arial"/>
          <w:color w:val="000000"/>
        </w:rPr>
        <w:t xml:space="preserve"> </w:t>
      </w:r>
      <w:r w:rsidR="00842A24" w:rsidRPr="00A63883">
        <w:rPr>
          <w:rFonts w:ascii="Arial" w:eastAsia="Arial" w:hAnsi="Arial" w:cs="Arial"/>
          <w:color w:val="000000"/>
        </w:rPr>
        <w:t>by Synapse Energy</w:t>
      </w:r>
      <w:r w:rsidR="00690423" w:rsidRPr="00A63883">
        <w:rPr>
          <w:rFonts w:ascii="Arial" w:eastAsia="Arial" w:hAnsi="Arial" w:cs="Arial"/>
          <w:color w:val="000000"/>
        </w:rPr>
        <w:t xml:space="preserve"> on behalf of</w:t>
      </w:r>
      <w:r w:rsidR="00F7648E" w:rsidRPr="00A63883">
        <w:rPr>
          <w:rFonts w:ascii="Arial" w:eastAsia="Arial" w:hAnsi="Arial" w:cs="Arial"/>
          <w:color w:val="000000"/>
        </w:rPr>
        <w:t xml:space="preserve"> </w:t>
      </w:r>
      <w:r w:rsidR="00690423" w:rsidRPr="00A63883">
        <w:rPr>
          <w:rFonts w:ascii="Arial" w:eastAsia="Arial" w:hAnsi="Arial" w:cs="Arial"/>
          <w:color w:val="000000"/>
        </w:rPr>
        <w:t>t</w:t>
      </w:r>
      <w:r w:rsidR="00842A24" w:rsidRPr="00A63883">
        <w:rPr>
          <w:rFonts w:ascii="Arial" w:eastAsia="Arial" w:hAnsi="Arial" w:cs="Arial"/>
          <w:color w:val="000000"/>
        </w:rPr>
        <w:t xml:space="preserve">he Minnesota Department of Commerce, Division of Energy Resources </w:t>
      </w:r>
      <w:r w:rsidR="00A64ED1">
        <w:rPr>
          <w:rFonts w:ascii="Arial" w:eastAsia="Arial" w:hAnsi="Arial" w:cs="Arial"/>
          <w:color w:val="000000"/>
        </w:rPr>
        <w:t>which discusses</w:t>
      </w:r>
      <w:r w:rsidR="00842A24" w:rsidRPr="00A63883">
        <w:rPr>
          <w:rFonts w:ascii="Arial" w:eastAsia="Arial" w:hAnsi="Arial" w:cs="Arial"/>
          <w:color w:val="000000"/>
        </w:rPr>
        <w:t xml:space="preserve"> privacy and security issues</w:t>
      </w:r>
      <w:r w:rsidR="001D234F" w:rsidRPr="00A63883">
        <w:rPr>
          <w:rFonts w:ascii="Arial" w:eastAsia="Arial" w:hAnsi="Arial" w:cs="Arial"/>
          <w:color w:val="000000"/>
        </w:rPr>
        <w:t>.</w:t>
      </w:r>
      <w:r w:rsidR="0089377A" w:rsidRPr="00A63883">
        <w:rPr>
          <w:rStyle w:val="FootnoteReference"/>
          <w:rFonts w:ascii="Arial" w:eastAsia="Arial" w:hAnsi="Arial" w:cs="Arial"/>
          <w:color w:val="000000"/>
        </w:rPr>
        <w:footnoteReference w:id="3"/>
      </w:r>
      <w:r w:rsidR="00A95F05" w:rsidRPr="00A63883">
        <w:rPr>
          <w:rFonts w:ascii="Arial" w:eastAsia="Arial" w:hAnsi="Arial" w:cs="Arial"/>
          <w:color w:val="000000"/>
        </w:rPr>
        <w:t xml:space="preserve"> </w:t>
      </w:r>
      <w:r w:rsidR="00D1265E" w:rsidRPr="00A63883">
        <w:rPr>
          <w:rFonts w:ascii="Arial" w:eastAsia="Arial" w:hAnsi="Arial" w:cs="Arial"/>
          <w:color w:val="000000"/>
        </w:rPr>
        <w:t xml:space="preserve"> </w:t>
      </w:r>
      <w:r w:rsidR="001D234F" w:rsidRPr="00A63883">
        <w:rPr>
          <w:rFonts w:ascii="Arial" w:eastAsia="Arial" w:hAnsi="Arial" w:cs="Arial"/>
          <w:color w:val="000000"/>
        </w:rPr>
        <w:t>Finally</w:t>
      </w:r>
      <w:r w:rsidR="00D1265E" w:rsidRPr="00A63883">
        <w:rPr>
          <w:rFonts w:ascii="Arial" w:eastAsia="Arial" w:hAnsi="Arial" w:cs="Arial"/>
          <w:color w:val="000000"/>
        </w:rPr>
        <w:t>, the Interstate Renewable Energy Council (IREC)</w:t>
      </w:r>
      <w:r w:rsidR="008E6BAC" w:rsidRPr="00A63883">
        <w:rPr>
          <w:rFonts w:ascii="Arial" w:eastAsia="Arial" w:hAnsi="Arial" w:cs="Arial"/>
          <w:color w:val="000000"/>
        </w:rPr>
        <w:t>,</w:t>
      </w:r>
      <w:r w:rsidR="00D1265E" w:rsidRPr="00A63883">
        <w:rPr>
          <w:rFonts w:ascii="Arial" w:eastAsia="Arial" w:hAnsi="Arial" w:cs="Arial"/>
          <w:color w:val="000000"/>
        </w:rPr>
        <w:t xml:space="preserve"> </w:t>
      </w:r>
      <w:r w:rsidR="00954FD1" w:rsidRPr="00A63883">
        <w:rPr>
          <w:rFonts w:ascii="Arial" w:eastAsia="Arial" w:hAnsi="Arial" w:cs="Arial"/>
          <w:color w:val="000000"/>
        </w:rPr>
        <w:t xml:space="preserve">which has been an active participant in the adoption of HCA </w:t>
      </w:r>
      <w:r w:rsidR="0053661B" w:rsidRPr="00A63883">
        <w:rPr>
          <w:rFonts w:ascii="Arial" w:eastAsia="Arial" w:hAnsi="Arial" w:cs="Arial"/>
          <w:color w:val="000000"/>
        </w:rPr>
        <w:t>policies</w:t>
      </w:r>
      <w:r w:rsidR="001D234F" w:rsidRPr="00A63883">
        <w:rPr>
          <w:rFonts w:ascii="Arial" w:eastAsia="Arial" w:hAnsi="Arial" w:cs="Arial"/>
          <w:color w:val="000000"/>
        </w:rPr>
        <w:t xml:space="preserve"> in other states</w:t>
      </w:r>
      <w:r w:rsidR="00305945" w:rsidRPr="00A63883">
        <w:rPr>
          <w:rFonts w:ascii="Arial" w:eastAsia="Arial" w:hAnsi="Arial" w:cs="Arial"/>
          <w:color w:val="000000"/>
        </w:rPr>
        <w:t xml:space="preserve">, </w:t>
      </w:r>
      <w:r w:rsidR="00366ED6" w:rsidRPr="00A63883">
        <w:rPr>
          <w:rFonts w:ascii="Arial" w:eastAsia="Arial" w:hAnsi="Arial" w:cs="Arial"/>
          <w:color w:val="000000"/>
        </w:rPr>
        <w:t xml:space="preserve">has released an informative </w:t>
      </w:r>
      <w:r w:rsidR="00B3090E" w:rsidRPr="00A63883">
        <w:rPr>
          <w:rFonts w:ascii="Arial" w:eastAsia="Arial" w:hAnsi="Arial" w:cs="Arial"/>
          <w:color w:val="000000"/>
        </w:rPr>
        <w:t>guide</w:t>
      </w:r>
      <w:r w:rsidR="00305945" w:rsidRPr="00A63883">
        <w:rPr>
          <w:rFonts w:ascii="Arial" w:eastAsia="Arial" w:hAnsi="Arial" w:cs="Arial"/>
          <w:color w:val="000000"/>
        </w:rPr>
        <w:t xml:space="preserve"> </w:t>
      </w:r>
      <w:r w:rsidR="008E6BAC" w:rsidRPr="00A63883">
        <w:rPr>
          <w:rFonts w:ascii="Arial" w:eastAsia="Arial" w:hAnsi="Arial" w:cs="Arial"/>
          <w:color w:val="000000"/>
        </w:rPr>
        <w:t xml:space="preserve">titled </w:t>
      </w:r>
      <w:r w:rsidR="00305945" w:rsidRPr="00A63883">
        <w:rPr>
          <w:rFonts w:ascii="Arial" w:eastAsia="Arial" w:hAnsi="Arial" w:cs="Arial"/>
          <w:color w:val="000000"/>
        </w:rPr>
        <w:t>“</w:t>
      </w:r>
      <w:r w:rsidR="008D1CEF" w:rsidRPr="00A63883">
        <w:rPr>
          <w:rFonts w:ascii="Arial" w:eastAsia="Arial" w:hAnsi="Arial" w:cs="Arial"/>
          <w:color w:val="000000"/>
        </w:rPr>
        <w:t xml:space="preserve">Optimizing the Grid: A Regulator’s Guide to Hosting Capacity Analyses for Distributed Energy </w:t>
      </w:r>
      <w:r w:rsidR="008D1CEF" w:rsidRPr="00A63883">
        <w:rPr>
          <w:rFonts w:ascii="Arial" w:eastAsia="Arial" w:hAnsi="Arial" w:cs="Arial"/>
          <w:color w:val="000000"/>
        </w:rPr>
        <w:lastRenderedPageBreak/>
        <w:t>Resources</w:t>
      </w:r>
      <w:r w:rsidR="00305945" w:rsidRPr="00A63883">
        <w:rPr>
          <w:rFonts w:ascii="Arial" w:eastAsia="Arial" w:hAnsi="Arial" w:cs="Arial"/>
          <w:color w:val="000000"/>
        </w:rPr>
        <w:t xml:space="preserve">” </w:t>
      </w:r>
      <w:r w:rsidR="008B1B57" w:rsidRPr="00A63883">
        <w:rPr>
          <w:rFonts w:ascii="Arial" w:eastAsia="Arial" w:hAnsi="Arial" w:cs="Arial"/>
          <w:color w:val="000000"/>
        </w:rPr>
        <w:t xml:space="preserve">based upon lessons learned in other states </w:t>
      </w:r>
      <w:r w:rsidR="00305945" w:rsidRPr="00A63883">
        <w:rPr>
          <w:rFonts w:ascii="Arial" w:eastAsia="Arial" w:hAnsi="Arial" w:cs="Arial"/>
          <w:color w:val="000000"/>
        </w:rPr>
        <w:t xml:space="preserve">which can be </w:t>
      </w:r>
      <w:r w:rsidR="00366ED6" w:rsidRPr="00A63883">
        <w:rPr>
          <w:rFonts w:ascii="Arial" w:eastAsia="Arial" w:hAnsi="Arial" w:cs="Arial"/>
          <w:color w:val="000000"/>
        </w:rPr>
        <w:t xml:space="preserve">downloaded from </w:t>
      </w:r>
      <w:r w:rsidR="00EC3623" w:rsidRPr="00A63883">
        <w:rPr>
          <w:rFonts w:ascii="Arial" w:eastAsia="Arial" w:hAnsi="Arial" w:cs="Arial"/>
          <w:color w:val="000000"/>
        </w:rPr>
        <w:t>IREC’s website</w:t>
      </w:r>
      <w:r w:rsidR="00355886" w:rsidRPr="00A63883">
        <w:rPr>
          <w:rFonts w:ascii="Arial" w:eastAsia="Arial" w:hAnsi="Arial" w:cs="Arial"/>
          <w:color w:val="000000"/>
        </w:rPr>
        <w:t>.</w:t>
      </w:r>
      <w:r w:rsidR="00924EFA" w:rsidRPr="00A63883">
        <w:rPr>
          <w:rStyle w:val="FootnoteReference"/>
          <w:rFonts w:ascii="Arial" w:eastAsia="Arial" w:hAnsi="Arial" w:cs="Arial"/>
          <w:color w:val="000000"/>
        </w:rPr>
        <w:footnoteReference w:id="4"/>
      </w:r>
    </w:p>
    <w:p w14:paraId="6AFA18C3" w14:textId="1BF0D5C9" w:rsidR="00294C1A" w:rsidRPr="00031483" w:rsidRDefault="00294C1A" w:rsidP="001774C5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="360" w:hanging="360"/>
        <w:jc w:val="center"/>
        <w:rPr>
          <w:rFonts w:ascii="Arial" w:eastAsia="Arial" w:hAnsi="Arial" w:cs="Arial"/>
          <w:b/>
          <w:bCs/>
          <w:color w:val="000000"/>
        </w:rPr>
      </w:pPr>
      <w:r w:rsidRPr="00031483">
        <w:rPr>
          <w:rFonts w:ascii="Arial" w:eastAsia="Arial" w:hAnsi="Arial" w:cs="Arial"/>
          <w:b/>
          <w:bCs/>
          <w:color w:val="000000"/>
        </w:rPr>
        <w:t>Deadlines</w:t>
      </w:r>
    </w:p>
    <w:p w14:paraId="6A614647" w14:textId="7DD092C4" w:rsidR="00DC1EA9" w:rsidRDefault="009173DF" w:rsidP="00982C9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Until a longer solution such as HCA can be implemented, </w:t>
      </w:r>
      <w:r w:rsidR="00CB0B3E">
        <w:rPr>
          <w:rFonts w:ascii="Arial" w:eastAsia="Arial" w:hAnsi="Arial" w:cs="Arial"/>
          <w:color w:val="000000"/>
        </w:rPr>
        <w:t xml:space="preserve">TSPA continues to recommend that the proposed rules </w:t>
      </w:r>
      <w:r w:rsidR="00443C24">
        <w:rPr>
          <w:rFonts w:ascii="Arial" w:eastAsia="Arial" w:hAnsi="Arial" w:cs="Arial"/>
          <w:color w:val="000000"/>
        </w:rPr>
        <w:t>contai</w:t>
      </w:r>
      <w:r w:rsidR="00403AC6">
        <w:rPr>
          <w:rFonts w:ascii="Arial" w:eastAsia="Arial" w:hAnsi="Arial" w:cs="Arial"/>
          <w:color w:val="000000"/>
        </w:rPr>
        <w:t xml:space="preserve">n </w:t>
      </w:r>
      <w:r w:rsidR="00791F01">
        <w:rPr>
          <w:rFonts w:ascii="Arial" w:eastAsia="Arial" w:hAnsi="Arial" w:cs="Arial"/>
          <w:color w:val="000000"/>
        </w:rPr>
        <w:t>specific dea</w:t>
      </w:r>
      <w:r w:rsidR="007F4827">
        <w:rPr>
          <w:rFonts w:ascii="Arial" w:eastAsia="Arial" w:hAnsi="Arial" w:cs="Arial"/>
          <w:color w:val="000000"/>
        </w:rPr>
        <w:t xml:space="preserve">dlines so that utilities and DER providers can </w:t>
      </w:r>
      <w:r w:rsidR="00F24451">
        <w:rPr>
          <w:rFonts w:ascii="Arial" w:eastAsia="Arial" w:hAnsi="Arial" w:cs="Arial"/>
          <w:color w:val="000000"/>
        </w:rPr>
        <w:t xml:space="preserve">have reasonable expectations </w:t>
      </w:r>
      <w:r w:rsidR="00C025A1">
        <w:rPr>
          <w:rFonts w:ascii="Arial" w:eastAsia="Arial" w:hAnsi="Arial" w:cs="Arial"/>
          <w:color w:val="000000"/>
        </w:rPr>
        <w:t xml:space="preserve">and accountability </w:t>
      </w:r>
      <w:r w:rsidR="00F24451">
        <w:rPr>
          <w:rFonts w:ascii="Arial" w:eastAsia="Arial" w:hAnsi="Arial" w:cs="Arial"/>
          <w:color w:val="000000"/>
        </w:rPr>
        <w:t xml:space="preserve">regarding the timing of the interconnection process.  </w:t>
      </w:r>
      <w:r w:rsidR="00683122">
        <w:rPr>
          <w:rFonts w:ascii="Arial" w:eastAsia="Arial" w:hAnsi="Arial" w:cs="Arial"/>
          <w:color w:val="000000"/>
        </w:rPr>
        <w:t xml:space="preserve">Interconnection delays </w:t>
      </w:r>
      <w:r w:rsidR="005E34FD">
        <w:rPr>
          <w:rFonts w:ascii="Arial" w:eastAsia="Arial" w:hAnsi="Arial" w:cs="Arial"/>
          <w:color w:val="000000"/>
        </w:rPr>
        <w:t xml:space="preserve">can result in </w:t>
      </w:r>
      <w:r w:rsidR="00683122" w:rsidRPr="00683122">
        <w:rPr>
          <w:rFonts w:ascii="Arial" w:eastAsia="Arial" w:hAnsi="Arial" w:cs="Arial"/>
          <w:color w:val="000000"/>
        </w:rPr>
        <w:t>potential loss of financing, loss of opportunity to receive incentives</w:t>
      </w:r>
      <w:r w:rsidR="005E34FD">
        <w:rPr>
          <w:rFonts w:ascii="Arial" w:eastAsia="Arial" w:hAnsi="Arial" w:cs="Arial"/>
          <w:color w:val="000000"/>
        </w:rPr>
        <w:t>,</w:t>
      </w:r>
      <w:r w:rsidR="00683122" w:rsidRPr="00683122">
        <w:rPr>
          <w:rFonts w:ascii="Arial" w:eastAsia="Arial" w:hAnsi="Arial" w:cs="Arial"/>
          <w:color w:val="000000"/>
        </w:rPr>
        <w:t xml:space="preserve"> loss of revenue, and </w:t>
      </w:r>
      <w:r w:rsidR="00072199">
        <w:rPr>
          <w:rFonts w:ascii="Arial" w:eastAsia="Arial" w:hAnsi="Arial" w:cs="Arial"/>
          <w:color w:val="000000"/>
        </w:rPr>
        <w:t xml:space="preserve">contractual complications </w:t>
      </w:r>
      <w:r w:rsidR="007B7255">
        <w:rPr>
          <w:rFonts w:ascii="Arial" w:eastAsia="Arial" w:hAnsi="Arial" w:cs="Arial"/>
          <w:color w:val="000000"/>
        </w:rPr>
        <w:t xml:space="preserve">due to missed deadlines.  </w:t>
      </w:r>
      <w:r w:rsidR="00DB1F77">
        <w:rPr>
          <w:rFonts w:ascii="Arial" w:eastAsia="Arial" w:hAnsi="Arial" w:cs="Arial"/>
          <w:color w:val="000000"/>
        </w:rPr>
        <w:t xml:space="preserve">Therefore, </w:t>
      </w:r>
      <w:r w:rsidR="00597311">
        <w:rPr>
          <w:rFonts w:ascii="Arial" w:eastAsia="Arial" w:hAnsi="Arial" w:cs="Arial"/>
          <w:color w:val="000000"/>
        </w:rPr>
        <w:t xml:space="preserve">the establishment of reasonable deadlines is </w:t>
      </w:r>
      <w:r w:rsidR="00B15891">
        <w:rPr>
          <w:rFonts w:ascii="Arial" w:eastAsia="Arial" w:hAnsi="Arial" w:cs="Arial"/>
          <w:color w:val="000000"/>
        </w:rPr>
        <w:t>critical to DER providers for project management.</w:t>
      </w:r>
    </w:p>
    <w:p w14:paraId="0B6BE661" w14:textId="38A68F25" w:rsidR="007A4A49" w:rsidRDefault="00D472CA" w:rsidP="00982C9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</w:t>
      </w:r>
      <w:r w:rsidR="00BF17BD">
        <w:rPr>
          <w:rFonts w:ascii="Arial" w:eastAsia="Arial" w:hAnsi="Arial" w:cs="Arial"/>
          <w:color w:val="000000"/>
        </w:rPr>
        <w:t xml:space="preserve">SPA recommends removing all </w:t>
      </w:r>
      <w:r w:rsidR="004371F0">
        <w:rPr>
          <w:rFonts w:ascii="Arial" w:eastAsia="Arial" w:hAnsi="Arial" w:cs="Arial"/>
          <w:color w:val="000000"/>
        </w:rPr>
        <w:t>qualifiers such as “best efforts</w:t>
      </w:r>
      <w:r w:rsidR="00791172">
        <w:rPr>
          <w:rFonts w:ascii="Arial" w:eastAsia="Arial" w:hAnsi="Arial" w:cs="Arial"/>
          <w:color w:val="000000"/>
        </w:rPr>
        <w:t>,</w:t>
      </w:r>
      <w:r w:rsidR="00F3311C">
        <w:rPr>
          <w:rFonts w:ascii="Arial" w:eastAsia="Arial" w:hAnsi="Arial" w:cs="Arial"/>
          <w:color w:val="000000"/>
        </w:rPr>
        <w:t>”</w:t>
      </w:r>
      <w:r w:rsidR="00791172">
        <w:rPr>
          <w:rFonts w:ascii="Arial" w:eastAsia="Arial" w:hAnsi="Arial" w:cs="Arial"/>
          <w:color w:val="000000"/>
        </w:rPr>
        <w:t xml:space="preserve"> </w:t>
      </w:r>
      <w:r w:rsidR="00396DD9">
        <w:rPr>
          <w:rFonts w:ascii="Arial" w:eastAsia="Arial" w:hAnsi="Arial" w:cs="Arial"/>
          <w:color w:val="000000"/>
        </w:rPr>
        <w:t>“commercially reasonable efforts”</w:t>
      </w:r>
      <w:r w:rsidR="00791172">
        <w:rPr>
          <w:rFonts w:ascii="Arial" w:eastAsia="Arial" w:hAnsi="Arial" w:cs="Arial"/>
          <w:color w:val="000000"/>
        </w:rPr>
        <w:t>, or “good faith efforts”</w:t>
      </w:r>
      <w:r w:rsidR="00F27C71">
        <w:rPr>
          <w:rFonts w:ascii="Arial" w:eastAsia="Arial" w:hAnsi="Arial" w:cs="Arial"/>
          <w:color w:val="000000"/>
        </w:rPr>
        <w:t xml:space="preserve"> </w:t>
      </w:r>
      <w:r w:rsidR="00791172">
        <w:rPr>
          <w:rFonts w:ascii="Arial" w:eastAsia="Arial" w:hAnsi="Arial" w:cs="Arial"/>
          <w:color w:val="000000"/>
        </w:rPr>
        <w:t xml:space="preserve">from the rule </w:t>
      </w:r>
      <w:r w:rsidR="00E63BFE">
        <w:rPr>
          <w:rFonts w:ascii="Arial" w:eastAsia="Arial" w:hAnsi="Arial" w:cs="Arial"/>
          <w:color w:val="000000"/>
        </w:rPr>
        <w:t>because it injects ambiguity into the process an</w:t>
      </w:r>
      <w:r w:rsidR="00F3311C">
        <w:rPr>
          <w:rFonts w:ascii="Arial" w:eastAsia="Arial" w:hAnsi="Arial" w:cs="Arial"/>
          <w:color w:val="000000"/>
        </w:rPr>
        <w:t xml:space="preserve">d signals that the deadlines are </w:t>
      </w:r>
      <w:r w:rsidR="001801F7">
        <w:rPr>
          <w:rFonts w:ascii="Arial" w:eastAsia="Arial" w:hAnsi="Arial" w:cs="Arial"/>
          <w:color w:val="000000"/>
        </w:rPr>
        <w:t xml:space="preserve">more aspirational than mandatory </w:t>
      </w:r>
      <w:r w:rsidR="00E63BFE">
        <w:rPr>
          <w:rFonts w:ascii="Arial" w:eastAsia="Arial" w:hAnsi="Arial" w:cs="Arial"/>
          <w:color w:val="000000"/>
        </w:rPr>
        <w:t xml:space="preserve"> </w:t>
      </w:r>
      <w:r w:rsidR="00F27C71">
        <w:rPr>
          <w:rFonts w:ascii="Arial" w:eastAsia="Arial" w:hAnsi="Arial" w:cs="Arial"/>
          <w:color w:val="000000"/>
        </w:rPr>
        <w:t xml:space="preserve">(see e.g. </w:t>
      </w:r>
      <w:r w:rsidR="00D16850">
        <w:rPr>
          <w:rFonts w:ascii="Arial" w:eastAsia="Arial" w:hAnsi="Arial" w:cs="Arial"/>
          <w:color w:val="000000"/>
        </w:rPr>
        <w:t>(c)(3)</w:t>
      </w:r>
      <w:r w:rsidR="00333ECD">
        <w:rPr>
          <w:rFonts w:ascii="Arial" w:eastAsia="Arial" w:hAnsi="Arial" w:cs="Arial"/>
          <w:color w:val="000000"/>
        </w:rPr>
        <w:t xml:space="preserve"> and </w:t>
      </w:r>
      <w:r w:rsidR="00E94F72">
        <w:rPr>
          <w:rFonts w:ascii="Arial" w:eastAsia="Arial" w:hAnsi="Arial" w:cs="Arial"/>
          <w:color w:val="000000"/>
        </w:rPr>
        <w:t>(f)</w:t>
      </w:r>
      <w:r w:rsidR="003E44DF">
        <w:rPr>
          <w:rFonts w:ascii="Arial" w:eastAsia="Arial" w:hAnsi="Arial" w:cs="Arial"/>
          <w:color w:val="000000"/>
        </w:rPr>
        <w:t>(2)(B)</w:t>
      </w:r>
      <w:r w:rsidR="00333ECD">
        <w:rPr>
          <w:rFonts w:ascii="Arial" w:eastAsia="Arial" w:hAnsi="Arial" w:cs="Arial"/>
          <w:color w:val="000000"/>
        </w:rPr>
        <w:t>).  Additionally, as suggested by TSPA</w:t>
      </w:r>
      <w:r w:rsidR="00D936FC">
        <w:rPr>
          <w:rFonts w:ascii="Arial" w:eastAsia="Arial" w:hAnsi="Arial" w:cs="Arial"/>
          <w:color w:val="000000"/>
        </w:rPr>
        <w:t xml:space="preserve"> at the workshop</w:t>
      </w:r>
      <w:r w:rsidR="00276058">
        <w:rPr>
          <w:rFonts w:ascii="Arial" w:eastAsia="Arial" w:hAnsi="Arial" w:cs="Arial"/>
          <w:color w:val="000000"/>
        </w:rPr>
        <w:t>, the rules should create backstops</w:t>
      </w:r>
      <w:r w:rsidR="00D936FC">
        <w:rPr>
          <w:rFonts w:ascii="Arial" w:eastAsia="Arial" w:hAnsi="Arial" w:cs="Arial"/>
          <w:color w:val="000000"/>
        </w:rPr>
        <w:t xml:space="preserve"> (</w:t>
      </w:r>
      <w:proofErr w:type="spellStart"/>
      <w:r w:rsidR="0089012A">
        <w:rPr>
          <w:rFonts w:ascii="Arial" w:eastAsia="Arial" w:hAnsi="Arial" w:cs="Arial"/>
          <w:color w:val="000000"/>
        </w:rPr>
        <w:t>i.e</w:t>
      </w:r>
      <w:proofErr w:type="spellEnd"/>
      <w:r w:rsidR="0089012A">
        <w:rPr>
          <w:rFonts w:ascii="Arial" w:eastAsia="Arial" w:hAnsi="Arial" w:cs="Arial"/>
          <w:color w:val="000000"/>
        </w:rPr>
        <w:t>,</w:t>
      </w:r>
      <w:r w:rsidR="00D936FC">
        <w:rPr>
          <w:rFonts w:ascii="Arial" w:eastAsia="Arial" w:hAnsi="Arial" w:cs="Arial"/>
          <w:color w:val="000000"/>
        </w:rPr>
        <w:t xml:space="preserve"> not-to-exceed dates)</w:t>
      </w:r>
      <w:r w:rsidR="00276058">
        <w:rPr>
          <w:rFonts w:ascii="Arial" w:eastAsia="Arial" w:hAnsi="Arial" w:cs="Arial"/>
          <w:color w:val="000000"/>
        </w:rPr>
        <w:t xml:space="preserve"> in areas where the utility has discretion to extend deadlines.  For example, </w:t>
      </w:r>
      <w:r w:rsidR="00E863E5">
        <w:rPr>
          <w:rFonts w:ascii="Arial" w:eastAsia="Arial" w:hAnsi="Arial" w:cs="Arial"/>
          <w:color w:val="000000"/>
        </w:rPr>
        <w:t xml:space="preserve">in (c)(3), the </w:t>
      </w:r>
      <w:r w:rsidR="0089012A">
        <w:rPr>
          <w:rFonts w:ascii="Arial" w:eastAsia="Arial" w:hAnsi="Arial" w:cs="Arial"/>
          <w:color w:val="000000"/>
        </w:rPr>
        <w:t>draft</w:t>
      </w:r>
      <w:r w:rsidR="00E863E5">
        <w:rPr>
          <w:rFonts w:ascii="Arial" w:eastAsia="Arial" w:hAnsi="Arial" w:cs="Arial"/>
          <w:color w:val="000000"/>
        </w:rPr>
        <w:t xml:space="preserve"> language states that </w:t>
      </w:r>
      <w:r w:rsidR="00AC3584">
        <w:rPr>
          <w:rFonts w:ascii="Arial" w:eastAsia="Arial" w:hAnsi="Arial" w:cs="Arial"/>
          <w:color w:val="000000"/>
        </w:rPr>
        <w:t>a DSP can notify the provider of a delay and provide an</w:t>
      </w:r>
      <w:r w:rsidR="00FB4DE3">
        <w:rPr>
          <w:rFonts w:ascii="Arial" w:eastAsia="Arial" w:hAnsi="Arial" w:cs="Arial"/>
          <w:color w:val="000000"/>
        </w:rPr>
        <w:t xml:space="preserve"> estimated completion date.  TSPA recommends that the backstop for this section be no later than </w:t>
      </w:r>
      <w:r w:rsidR="00133A41">
        <w:rPr>
          <w:rFonts w:ascii="Arial" w:eastAsia="Arial" w:hAnsi="Arial" w:cs="Arial"/>
          <w:color w:val="000000"/>
        </w:rPr>
        <w:t>60 days</w:t>
      </w:r>
      <w:r w:rsidR="0023331E">
        <w:rPr>
          <w:rFonts w:ascii="Arial" w:eastAsia="Arial" w:hAnsi="Arial" w:cs="Arial"/>
          <w:color w:val="000000"/>
        </w:rPr>
        <w:t>.</w:t>
      </w:r>
    </w:p>
    <w:p w14:paraId="7364827E" w14:textId="5F10BFC4" w:rsidR="00D472CA" w:rsidRDefault="007A4A49" w:rsidP="00982C9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During the workshops, the utilities expressed a desire for longer deadlines </w:t>
      </w:r>
      <w:r w:rsidR="00301665">
        <w:rPr>
          <w:rFonts w:ascii="Arial" w:eastAsia="Arial" w:hAnsi="Arial" w:cs="Arial"/>
          <w:color w:val="000000"/>
        </w:rPr>
        <w:t xml:space="preserve">imposed on them and shorter deadlines </w:t>
      </w:r>
      <w:r w:rsidR="00BC2D91">
        <w:rPr>
          <w:rFonts w:ascii="Arial" w:eastAsia="Arial" w:hAnsi="Arial" w:cs="Arial"/>
          <w:color w:val="000000"/>
        </w:rPr>
        <w:t xml:space="preserve">for </w:t>
      </w:r>
      <w:r w:rsidR="00301665">
        <w:rPr>
          <w:rFonts w:ascii="Arial" w:eastAsia="Arial" w:hAnsi="Arial" w:cs="Arial"/>
          <w:color w:val="000000"/>
        </w:rPr>
        <w:t xml:space="preserve">DER obligations. </w:t>
      </w:r>
      <w:r w:rsidR="00133A41">
        <w:rPr>
          <w:rFonts w:ascii="Arial" w:eastAsia="Arial" w:hAnsi="Arial" w:cs="Arial"/>
          <w:color w:val="000000"/>
        </w:rPr>
        <w:t xml:space="preserve"> </w:t>
      </w:r>
      <w:r w:rsidR="00301665">
        <w:rPr>
          <w:rFonts w:ascii="Arial" w:eastAsia="Arial" w:hAnsi="Arial" w:cs="Arial"/>
          <w:color w:val="000000"/>
        </w:rPr>
        <w:t xml:space="preserve">The rule should create an equal system of obligations </w:t>
      </w:r>
      <w:r w:rsidR="00BC2D91">
        <w:rPr>
          <w:rFonts w:ascii="Arial" w:eastAsia="Arial" w:hAnsi="Arial" w:cs="Arial"/>
          <w:color w:val="000000"/>
        </w:rPr>
        <w:t>for</w:t>
      </w:r>
      <w:r w:rsidR="00301665">
        <w:rPr>
          <w:rFonts w:ascii="Arial" w:eastAsia="Arial" w:hAnsi="Arial" w:cs="Arial"/>
          <w:color w:val="000000"/>
        </w:rPr>
        <w:t xml:space="preserve"> both utilities and DERs. </w:t>
      </w:r>
      <w:r w:rsidR="00A22AC4">
        <w:rPr>
          <w:rFonts w:ascii="Arial" w:eastAsia="Arial" w:hAnsi="Arial" w:cs="Arial"/>
          <w:color w:val="000000"/>
        </w:rPr>
        <w:t xml:space="preserve">Decreasing interconnection </w:t>
      </w:r>
      <w:r w:rsidR="00A22AC4">
        <w:rPr>
          <w:rFonts w:ascii="Arial" w:eastAsia="Arial" w:hAnsi="Arial" w:cs="Arial"/>
          <w:color w:val="000000"/>
        </w:rPr>
        <w:lastRenderedPageBreak/>
        <w:t xml:space="preserve">timelines creates obligations on both sides </w:t>
      </w:r>
      <w:r w:rsidR="00AD2742">
        <w:rPr>
          <w:rFonts w:ascii="Arial" w:eastAsia="Arial" w:hAnsi="Arial" w:cs="Arial"/>
          <w:color w:val="000000"/>
        </w:rPr>
        <w:t xml:space="preserve">to act reasonably and within prescribed time periods and one side </w:t>
      </w:r>
      <w:r w:rsidR="007E1787">
        <w:rPr>
          <w:rFonts w:ascii="Arial" w:eastAsia="Arial" w:hAnsi="Arial" w:cs="Arial"/>
          <w:color w:val="000000"/>
        </w:rPr>
        <w:t xml:space="preserve">should not have prolonged periods to act while the other side does not. </w:t>
      </w:r>
      <w:r w:rsidR="003C6374">
        <w:rPr>
          <w:rFonts w:ascii="Arial" w:eastAsia="Arial" w:hAnsi="Arial" w:cs="Arial"/>
          <w:color w:val="000000"/>
        </w:rPr>
        <w:t xml:space="preserve"> To decrease the disparity in timelines, </w:t>
      </w:r>
      <w:r w:rsidR="00F94A65">
        <w:rPr>
          <w:rFonts w:ascii="Arial" w:eastAsia="Arial" w:hAnsi="Arial" w:cs="Arial"/>
          <w:color w:val="000000"/>
        </w:rPr>
        <w:t xml:space="preserve">TSPA agrees with the </w:t>
      </w:r>
      <w:r w:rsidR="00536E04">
        <w:rPr>
          <w:rFonts w:ascii="Arial" w:eastAsia="Arial" w:hAnsi="Arial" w:cs="Arial"/>
          <w:color w:val="000000"/>
        </w:rPr>
        <w:t>comments</w:t>
      </w:r>
      <w:r w:rsidR="00F94A65">
        <w:rPr>
          <w:rFonts w:ascii="Arial" w:eastAsia="Arial" w:hAnsi="Arial" w:cs="Arial"/>
          <w:color w:val="000000"/>
        </w:rPr>
        <w:t xml:space="preserve"> </w:t>
      </w:r>
      <w:r w:rsidR="00536E04">
        <w:rPr>
          <w:rFonts w:ascii="Arial" w:eastAsia="Arial" w:hAnsi="Arial" w:cs="Arial"/>
          <w:color w:val="000000"/>
        </w:rPr>
        <w:t xml:space="preserve">at the Workshops </w:t>
      </w:r>
      <w:r w:rsidR="00F94A65">
        <w:rPr>
          <w:rFonts w:ascii="Arial" w:eastAsia="Arial" w:hAnsi="Arial" w:cs="Arial"/>
          <w:color w:val="000000"/>
        </w:rPr>
        <w:t xml:space="preserve">by Enchanted Rock that the </w:t>
      </w:r>
      <w:r w:rsidR="00BD02E4">
        <w:rPr>
          <w:rFonts w:ascii="Arial" w:eastAsia="Arial" w:hAnsi="Arial" w:cs="Arial"/>
          <w:color w:val="000000"/>
        </w:rPr>
        <w:t xml:space="preserve">shorter deadlines </w:t>
      </w:r>
      <w:r w:rsidR="009F628A">
        <w:rPr>
          <w:rFonts w:ascii="Arial" w:eastAsia="Arial" w:hAnsi="Arial" w:cs="Arial"/>
          <w:color w:val="000000"/>
        </w:rPr>
        <w:t xml:space="preserve">for utility responsibilities </w:t>
      </w:r>
      <w:r w:rsidR="00ED17FE">
        <w:rPr>
          <w:rFonts w:ascii="Arial" w:eastAsia="Arial" w:hAnsi="Arial" w:cs="Arial"/>
          <w:color w:val="000000"/>
        </w:rPr>
        <w:t xml:space="preserve">in the </w:t>
      </w:r>
      <w:proofErr w:type="gramStart"/>
      <w:r w:rsidR="00ED17FE">
        <w:rPr>
          <w:rFonts w:ascii="Arial" w:eastAsia="Arial" w:hAnsi="Arial" w:cs="Arial"/>
          <w:color w:val="000000"/>
        </w:rPr>
        <w:t>red-lines</w:t>
      </w:r>
      <w:proofErr w:type="gramEnd"/>
      <w:r w:rsidR="00ED17FE">
        <w:rPr>
          <w:rFonts w:ascii="Arial" w:eastAsia="Arial" w:hAnsi="Arial" w:cs="Arial"/>
          <w:color w:val="000000"/>
        </w:rPr>
        <w:t xml:space="preserve"> </w:t>
      </w:r>
      <w:r w:rsidR="00BD02E4">
        <w:rPr>
          <w:rFonts w:ascii="Arial" w:eastAsia="Arial" w:hAnsi="Arial" w:cs="Arial"/>
          <w:color w:val="000000"/>
        </w:rPr>
        <w:t xml:space="preserve">should be </w:t>
      </w:r>
      <w:r w:rsidR="00460E25">
        <w:rPr>
          <w:rFonts w:ascii="Arial" w:eastAsia="Arial" w:hAnsi="Arial" w:cs="Arial"/>
          <w:color w:val="000000"/>
        </w:rPr>
        <w:t xml:space="preserve">retained and not expanded.  (See e.g. (c)(3) 15 business days; </w:t>
      </w:r>
      <w:r w:rsidR="00DF455B">
        <w:rPr>
          <w:rFonts w:ascii="Arial" w:eastAsia="Arial" w:hAnsi="Arial" w:cs="Arial"/>
          <w:color w:val="000000"/>
        </w:rPr>
        <w:t xml:space="preserve">(f)(2)(B) </w:t>
      </w:r>
      <w:r w:rsidR="001820E2">
        <w:rPr>
          <w:rFonts w:ascii="Arial" w:eastAsia="Arial" w:hAnsi="Arial" w:cs="Arial"/>
          <w:color w:val="000000"/>
        </w:rPr>
        <w:t xml:space="preserve">60 </w:t>
      </w:r>
      <w:r w:rsidR="002B186B">
        <w:rPr>
          <w:rFonts w:ascii="Arial" w:eastAsia="Arial" w:hAnsi="Arial" w:cs="Arial"/>
          <w:color w:val="000000"/>
        </w:rPr>
        <w:t>business days</w:t>
      </w:r>
      <w:r w:rsidR="0055651B">
        <w:rPr>
          <w:rFonts w:ascii="Arial" w:eastAsia="Arial" w:hAnsi="Arial" w:cs="Arial"/>
          <w:color w:val="000000"/>
        </w:rPr>
        <w:t>).</w:t>
      </w:r>
    </w:p>
    <w:p w14:paraId="35665D8F" w14:textId="7B797A55" w:rsidR="00AE45A1" w:rsidRPr="00031483" w:rsidRDefault="00E128FA" w:rsidP="001774C5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="360" w:hanging="360"/>
        <w:jc w:val="center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Modifications, Disconnections, and Separate Processes</w:t>
      </w:r>
    </w:p>
    <w:p w14:paraId="7EE5D26E" w14:textId="23213C59" w:rsidR="00BB3E96" w:rsidRDefault="006547CB" w:rsidP="00982C9B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TSPA </w:t>
      </w:r>
      <w:r w:rsidR="008D50AF">
        <w:rPr>
          <w:rFonts w:ascii="Arial" w:eastAsia="Arial" w:hAnsi="Arial" w:cs="Arial"/>
          <w:color w:val="000000"/>
        </w:rPr>
        <w:t xml:space="preserve">also </w:t>
      </w:r>
      <w:r w:rsidR="000666F5">
        <w:rPr>
          <w:rFonts w:ascii="Arial" w:eastAsia="Arial" w:hAnsi="Arial" w:cs="Arial"/>
          <w:color w:val="000000"/>
        </w:rPr>
        <w:t>has some</w:t>
      </w:r>
      <w:r w:rsidR="001E38DA">
        <w:rPr>
          <w:rFonts w:ascii="Arial" w:eastAsia="Arial" w:hAnsi="Arial" w:cs="Arial"/>
          <w:color w:val="000000"/>
        </w:rPr>
        <w:t xml:space="preserve"> reservations</w:t>
      </w:r>
      <w:r w:rsidR="000666F5">
        <w:rPr>
          <w:rFonts w:ascii="Arial" w:eastAsia="Arial" w:hAnsi="Arial" w:cs="Arial"/>
          <w:color w:val="000000"/>
        </w:rPr>
        <w:t xml:space="preserve"> about the discussion around modifications</w:t>
      </w:r>
      <w:r w:rsidR="00545DBA">
        <w:rPr>
          <w:rFonts w:ascii="Arial" w:eastAsia="Arial" w:hAnsi="Arial" w:cs="Arial"/>
          <w:color w:val="000000"/>
        </w:rPr>
        <w:t>, disconnections</w:t>
      </w:r>
      <w:r w:rsidR="001E38DA">
        <w:rPr>
          <w:rFonts w:ascii="Arial" w:eastAsia="Arial" w:hAnsi="Arial" w:cs="Arial"/>
          <w:color w:val="000000"/>
        </w:rPr>
        <w:t>,</w:t>
      </w:r>
      <w:r w:rsidR="00545DBA">
        <w:rPr>
          <w:rFonts w:ascii="Arial" w:eastAsia="Arial" w:hAnsi="Arial" w:cs="Arial"/>
          <w:color w:val="000000"/>
        </w:rPr>
        <w:t xml:space="preserve"> and separate processes for</w:t>
      </w:r>
      <w:r w:rsidR="00287187">
        <w:rPr>
          <w:rFonts w:ascii="Arial" w:eastAsia="Arial" w:hAnsi="Arial" w:cs="Arial"/>
          <w:color w:val="000000"/>
        </w:rPr>
        <w:t xml:space="preserve"> DERs that wish to provide Ancillary and Energy services and those that do not.  </w:t>
      </w:r>
      <w:r w:rsidR="001E38DA">
        <w:rPr>
          <w:rFonts w:ascii="Arial" w:eastAsia="Arial" w:hAnsi="Arial" w:cs="Arial"/>
          <w:color w:val="000000"/>
        </w:rPr>
        <w:t xml:space="preserve">However, without draft </w:t>
      </w:r>
      <w:r w:rsidR="00542B14">
        <w:rPr>
          <w:rFonts w:ascii="Arial" w:eastAsia="Arial" w:hAnsi="Arial" w:cs="Arial"/>
          <w:color w:val="000000"/>
        </w:rPr>
        <w:t>language, we are unable to comment further at this time and look forward to reviewing the proposed changes.</w:t>
      </w:r>
    </w:p>
    <w:p w14:paraId="358EC3C2" w14:textId="5EFC747E" w:rsidR="0006481D" w:rsidRPr="00A63883" w:rsidRDefault="00B00B03" w:rsidP="005633AA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TSPA thanks the Staff for the</w:t>
      </w:r>
      <w:r w:rsidR="00681C43">
        <w:rPr>
          <w:rFonts w:ascii="Arial" w:eastAsia="Arial" w:hAnsi="Arial" w:cs="Arial"/>
          <w:color w:val="000000"/>
        </w:rPr>
        <w:t>ir engagement on this very important topic and appreciates the opportunity to participate and offer comments.</w:t>
      </w:r>
      <w:r w:rsidR="008F769E" w:rsidRPr="00A63883">
        <w:rPr>
          <w:rFonts w:ascii="Arial" w:eastAsia="Arial" w:hAnsi="Arial" w:cs="Arial"/>
          <w:color w:val="000000"/>
        </w:rPr>
        <w:tab/>
      </w:r>
    </w:p>
    <w:p w14:paraId="065EC67B" w14:textId="73112495" w:rsidR="00F40AF3" w:rsidRPr="00A63883" w:rsidRDefault="008A3CF5" w:rsidP="008A3CF5">
      <w:pPr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</w:p>
    <w:p w14:paraId="62425AAA" w14:textId="77777777" w:rsidR="002C64F3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480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</w:p>
    <w:p w14:paraId="1BA06545" w14:textId="269D1A21" w:rsidR="000204AD" w:rsidRPr="00A63883" w:rsidRDefault="002C64F3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480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0204AD" w:rsidRPr="00A63883">
        <w:rPr>
          <w:rFonts w:ascii="Arial" w:eastAsia="Arial" w:hAnsi="Arial" w:cs="Arial"/>
          <w:color w:val="000000"/>
        </w:rPr>
        <w:t>Respectfully submitted,</w:t>
      </w:r>
    </w:p>
    <w:p w14:paraId="6DE10C74" w14:textId="6D134EA4" w:rsidR="00314668" w:rsidRDefault="00C74814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</w:p>
    <w:p w14:paraId="2D95F837" w14:textId="77777777" w:rsidR="005633AA" w:rsidRDefault="005633AA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Arial" w:eastAsia="Arial" w:hAnsi="Arial" w:cs="Arial"/>
          <w:color w:val="000000"/>
        </w:rPr>
      </w:pPr>
    </w:p>
    <w:p w14:paraId="1E98B725" w14:textId="656739B6" w:rsidR="005633AA" w:rsidRPr="00A63883" w:rsidRDefault="004A15C2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 w:rsidR="009031E3">
        <w:rPr>
          <w:noProof/>
        </w:rPr>
        <w:drawing>
          <wp:inline distT="0" distB="0" distL="0" distR="0" wp14:anchorId="441DF39A" wp14:editId="58D4347A">
            <wp:extent cx="2590800" cy="539750"/>
            <wp:effectExtent l="0" t="0" r="0" b="0"/>
            <wp:docPr id="1062390091" name="Picture 1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390091" name="Picture 1" descr="A close-up of a signatur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783E4" w14:textId="3D608ECF" w:rsidR="000204AD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0204AD" w:rsidRPr="00A63883">
        <w:rPr>
          <w:rFonts w:ascii="Arial" w:eastAsia="Arial" w:hAnsi="Arial" w:cs="Arial"/>
          <w:color w:val="000000"/>
        </w:rPr>
        <w:t>_____________________________________</w:t>
      </w:r>
    </w:p>
    <w:p w14:paraId="610B7288" w14:textId="6D1B630E" w:rsidR="000204AD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0204AD" w:rsidRPr="00A63883">
        <w:rPr>
          <w:rFonts w:ascii="Arial" w:eastAsia="Arial" w:hAnsi="Arial" w:cs="Arial"/>
          <w:color w:val="000000"/>
        </w:rPr>
        <w:t>Tonya Miller</w:t>
      </w:r>
    </w:p>
    <w:p w14:paraId="572C66DF" w14:textId="4EB3F431" w:rsidR="00383744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383744" w:rsidRPr="00A63883">
        <w:rPr>
          <w:rFonts w:ascii="Arial" w:eastAsia="Arial" w:hAnsi="Arial" w:cs="Arial"/>
          <w:color w:val="000000"/>
        </w:rPr>
        <w:t>Texas Solar Power Association</w:t>
      </w:r>
    </w:p>
    <w:p w14:paraId="0F35A7CC" w14:textId="68ABC90D" w:rsidR="000204AD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0204AD" w:rsidRPr="00A63883">
        <w:rPr>
          <w:rFonts w:ascii="Arial" w:eastAsia="Arial" w:hAnsi="Arial" w:cs="Arial"/>
          <w:color w:val="000000"/>
        </w:rPr>
        <w:t>Executive Director</w:t>
      </w:r>
    </w:p>
    <w:p w14:paraId="1872FAA1" w14:textId="3C87E5BD" w:rsidR="000204AD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0204AD" w:rsidRPr="00A63883">
        <w:rPr>
          <w:rFonts w:ascii="Arial" w:eastAsia="Arial" w:hAnsi="Arial" w:cs="Arial"/>
          <w:color w:val="000000"/>
        </w:rPr>
        <w:t>www.txsolarpower.com</w:t>
      </w:r>
    </w:p>
    <w:p w14:paraId="0B775BD3" w14:textId="636BB287" w:rsidR="00836C6C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="000204AD" w:rsidRPr="00A63883">
        <w:rPr>
          <w:rFonts w:ascii="Arial" w:eastAsia="Arial" w:hAnsi="Arial" w:cs="Arial"/>
          <w:color w:val="000000"/>
        </w:rPr>
        <w:t>State Bar No. 24026771</w:t>
      </w:r>
    </w:p>
    <w:p w14:paraId="504F2899" w14:textId="2296B70C" w:rsidR="00836C6C" w:rsidRPr="00A63883" w:rsidRDefault="00BE6979" w:rsidP="003F0D6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hAnsi="Arial" w:cs="Arial"/>
        </w:rPr>
        <w:tab/>
      </w:r>
      <w:hyperlink r:id="rId9" w:history="1">
        <w:r w:rsidRPr="00A63883">
          <w:rPr>
            <w:rStyle w:val="Hyperlink"/>
            <w:rFonts w:ascii="Arial" w:eastAsia="Arial" w:hAnsi="Arial" w:cs="Arial"/>
          </w:rPr>
          <w:t>tonya@txsolarpower.org</w:t>
        </w:r>
      </w:hyperlink>
    </w:p>
    <w:p w14:paraId="07D566A7" w14:textId="77777777" w:rsidR="00836C6C" w:rsidRPr="00A63883" w:rsidRDefault="00836C6C" w:rsidP="003F0D6C">
      <w:pPr>
        <w:tabs>
          <w:tab w:val="left" w:pos="4320"/>
        </w:tabs>
        <w:spacing w:line="276" w:lineRule="auto"/>
        <w:rPr>
          <w:rFonts w:ascii="Arial" w:eastAsia="Arial" w:hAnsi="Arial" w:cs="Arial"/>
        </w:rPr>
      </w:pPr>
      <w:r w:rsidRPr="00A63883">
        <w:rPr>
          <w:rFonts w:ascii="Arial" w:eastAsia="Arial" w:hAnsi="Arial" w:cs="Arial"/>
        </w:rPr>
        <w:tab/>
        <w:t>(512) 560-9735</w:t>
      </w:r>
    </w:p>
    <w:p w14:paraId="26CB875C" w14:textId="77777777" w:rsidR="00960DE9" w:rsidRPr="00A63883" w:rsidRDefault="00960DE9" w:rsidP="003F0D6C">
      <w:pPr>
        <w:tabs>
          <w:tab w:val="left" w:pos="4320"/>
        </w:tabs>
        <w:rPr>
          <w:rFonts w:ascii="Arial" w:eastAsia="Arial" w:hAnsi="Arial" w:cs="Arial"/>
        </w:rPr>
      </w:pPr>
    </w:p>
    <w:p w14:paraId="7AAB7EFD" w14:textId="139412E8" w:rsidR="00D31F7A" w:rsidRPr="00A63883" w:rsidRDefault="007B5949" w:rsidP="008B2A22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jc w:val="both"/>
        <w:rPr>
          <w:rFonts w:ascii="Arial" w:eastAsia="Arial" w:hAnsi="Arial" w:cs="Arial"/>
          <w:color w:val="000000"/>
        </w:rPr>
      </w:pPr>
      <w:r w:rsidRPr="00A63883">
        <w:rPr>
          <w:rFonts w:ascii="Arial" w:eastAsia="Arial" w:hAnsi="Arial" w:cs="Arial"/>
          <w:color w:val="000000"/>
        </w:rPr>
        <w:tab/>
      </w:r>
      <w:r w:rsidRPr="00A63883">
        <w:rPr>
          <w:rFonts w:ascii="Arial" w:eastAsia="Arial" w:hAnsi="Arial" w:cs="Arial"/>
          <w:color w:val="000000"/>
        </w:rPr>
        <w:tab/>
      </w:r>
      <w:r w:rsidRPr="00A63883">
        <w:rPr>
          <w:rFonts w:ascii="Arial" w:eastAsia="Arial" w:hAnsi="Arial" w:cs="Arial"/>
          <w:color w:val="000000"/>
        </w:rPr>
        <w:tab/>
      </w:r>
    </w:p>
    <w:sectPr w:rsidR="00D31F7A" w:rsidRPr="00A63883" w:rsidSect="007F5D85">
      <w:footerReference w:type="default" r:id="rId10"/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2214" w14:textId="77777777" w:rsidR="00FA2964" w:rsidRDefault="00FA2964" w:rsidP="00314668">
      <w:r>
        <w:separator/>
      </w:r>
    </w:p>
  </w:endnote>
  <w:endnote w:type="continuationSeparator" w:id="0">
    <w:p w14:paraId="715A700C" w14:textId="77777777" w:rsidR="00FA2964" w:rsidRDefault="00FA2964" w:rsidP="0031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736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EDD93" w14:textId="7757B517" w:rsidR="00314668" w:rsidRDefault="003146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B6DC17" w14:textId="77777777" w:rsidR="00314668" w:rsidRDefault="00314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17AC9" w14:textId="77777777" w:rsidR="00FA2964" w:rsidRDefault="00FA2964" w:rsidP="00314668">
      <w:r>
        <w:separator/>
      </w:r>
    </w:p>
  </w:footnote>
  <w:footnote w:type="continuationSeparator" w:id="0">
    <w:p w14:paraId="65C475AE" w14:textId="77777777" w:rsidR="00FA2964" w:rsidRDefault="00FA2964" w:rsidP="00314668">
      <w:r>
        <w:continuationSeparator/>
      </w:r>
    </w:p>
  </w:footnote>
  <w:footnote w:id="1">
    <w:p w14:paraId="3419BFC1" w14:textId="6F190D52" w:rsidR="00E16CA1" w:rsidRPr="00E16CA1" w:rsidRDefault="00E16CA1">
      <w:pPr>
        <w:pStyle w:val="FootnoteText"/>
        <w:rPr>
          <w:rFonts w:ascii="Arial" w:hAnsi="Arial" w:cs="Arial"/>
        </w:rPr>
      </w:pPr>
      <w:r w:rsidRPr="00E16CA1">
        <w:rPr>
          <w:rStyle w:val="FootnoteReference"/>
          <w:rFonts w:ascii="Arial" w:hAnsi="Arial" w:cs="Arial"/>
        </w:rPr>
        <w:footnoteRef/>
      </w:r>
      <w:r w:rsidRPr="00E16CA1">
        <w:rPr>
          <w:rFonts w:ascii="Arial" w:hAnsi="Arial" w:cs="Arial"/>
        </w:rPr>
        <w:t xml:space="preserve"> </w:t>
      </w:r>
      <w:r w:rsidRPr="00E16CA1">
        <w:rPr>
          <w:rFonts w:ascii="Arial" w:hAnsi="Arial" w:cs="Arial"/>
          <w:i/>
          <w:iCs/>
        </w:rPr>
        <w:t>Application of Oncor Electric Delivery Company LLC for Authority to Change Rates</w:t>
      </w:r>
      <w:r w:rsidRPr="00E16CA1">
        <w:rPr>
          <w:rFonts w:ascii="Arial" w:hAnsi="Arial" w:cs="Arial"/>
        </w:rPr>
        <w:t xml:space="preserve">, Docket No. 53601, (June 30, 2023), Order on Rehearing at 11.  </w:t>
      </w:r>
    </w:p>
  </w:footnote>
  <w:footnote w:id="2">
    <w:p w14:paraId="41C31CF8" w14:textId="0894AFD2" w:rsidR="00F22832" w:rsidRDefault="00F22832">
      <w:pPr>
        <w:pStyle w:val="FootnoteText"/>
        <w:rPr>
          <w:rFonts w:ascii="Arial" w:eastAsia="Arial" w:hAnsi="Arial" w:cs="Arial"/>
          <w:color w:val="000000"/>
        </w:rPr>
      </w:pPr>
      <w:r w:rsidRPr="00A63883">
        <w:rPr>
          <w:rStyle w:val="FootnoteReference"/>
          <w:rFonts w:ascii="Arial" w:hAnsi="Arial" w:cs="Arial"/>
        </w:rPr>
        <w:footnoteRef/>
      </w:r>
      <w:r w:rsidRPr="00A63883">
        <w:rPr>
          <w:rFonts w:ascii="Arial" w:hAnsi="Arial" w:cs="Arial"/>
        </w:rPr>
        <w:t xml:space="preserve"> The NARUC Collaborative Report</w:t>
      </w:r>
      <w:r w:rsidR="00F273D7" w:rsidRPr="00A63883">
        <w:rPr>
          <w:rFonts w:ascii="Arial" w:hAnsi="Arial" w:cs="Arial"/>
        </w:rPr>
        <w:t xml:space="preserve">, </w:t>
      </w:r>
      <w:r w:rsidR="00F273D7" w:rsidRPr="00A63883">
        <w:rPr>
          <w:rFonts w:ascii="Arial" w:hAnsi="Arial" w:cs="Arial"/>
          <w:i/>
          <w:iCs/>
        </w:rPr>
        <w:t>Grid Data Sharing: Brief Summary of Current State Practices</w:t>
      </w:r>
      <w:r w:rsidR="00F273D7" w:rsidRPr="00A63883">
        <w:rPr>
          <w:rFonts w:ascii="Arial" w:hAnsi="Arial" w:cs="Arial"/>
        </w:rPr>
        <w:t>,</w:t>
      </w:r>
      <w:r w:rsidRPr="00A63883">
        <w:rPr>
          <w:rFonts w:ascii="Arial" w:hAnsi="Arial" w:cs="Arial"/>
        </w:rPr>
        <w:t xml:space="preserve"> can be found online </w:t>
      </w:r>
      <w:r w:rsidRPr="00A63883">
        <w:rPr>
          <w:rFonts w:ascii="Arial" w:eastAsia="Arial" w:hAnsi="Arial" w:cs="Arial"/>
          <w:color w:val="000000"/>
        </w:rPr>
        <w:t xml:space="preserve">at </w:t>
      </w:r>
      <w:hyperlink r:id="rId1" w:history="1">
        <w:r w:rsidRPr="00A63883">
          <w:rPr>
            <w:rStyle w:val="Hyperlink"/>
            <w:rFonts w:ascii="Arial" w:eastAsia="Arial" w:hAnsi="Arial" w:cs="Arial"/>
          </w:rPr>
          <w:t>https://pubs.naruc.org/pub/145ECC5C-1866-DAAC-99FB-A33438978E95</w:t>
        </w:r>
      </w:hyperlink>
      <w:r w:rsidRPr="00A63883">
        <w:rPr>
          <w:rFonts w:ascii="Arial" w:eastAsia="Arial" w:hAnsi="Arial" w:cs="Arial"/>
          <w:color w:val="000000"/>
        </w:rPr>
        <w:t>.</w:t>
      </w:r>
    </w:p>
    <w:p w14:paraId="2AE24852" w14:textId="77777777" w:rsidR="00A63883" w:rsidRPr="00A63883" w:rsidRDefault="00A63883">
      <w:pPr>
        <w:pStyle w:val="FootnoteText"/>
        <w:rPr>
          <w:rFonts w:ascii="Arial" w:hAnsi="Arial" w:cs="Arial"/>
        </w:rPr>
      </w:pPr>
    </w:p>
  </w:footnote>
  <w:footnote w:id="3">
    <w:p w14:paraId="437CE1AE" w14:textId="223F3A67" w:rsidR="0089377A" w:rsidRPr="00A63883" w:rsidRDefault="0089377A">
      <w:pPr>
        <w:pStyle w:val="FootnoteText"/>
        <w:rPr>
          <w:rFonts w:ascii="Arial" w:hAnsi="Arial" w:cs="Arial"/>
        </w:rPr>
      </w:pPr>
      <w:r w:rsidRPr="00A63883">
        <w:rPr>
          <w:rStyle w:val="FootnoteReference"/>
          <w:rFonts w:ascii="Arial" w:hAnsi="Arial" w:cs="Arial"/>
        </w:rPr>
        <w:footnoteRef/>
      </w:r>
      <w:r w:rsidRPr="00A63883">
        <w:rPr>
          <w:rFonts w:ascii="Arial" w:hAnsi="Arial" w:cs="Arial"/>
        </w:rPr>
        <w:t xml:space="preserve"> The </w:t>
      </w:r>
      <w:r w:rsidR="002620ED" w:rsidRPr="00A63883">
        <w:rPr>
          <w:rFonts w:ascii="Arial" w:hAnsi="Arial" w:cs="Arial"/>
        </w:rPr>
        <w:t xml:space="preserve">Synapse </w:t>
      </w:r>
      <w:r w:rsidR="00E67FC1" w:rsidRPr="00A63883">
        <w:rPr>
          <w:rFonts w:ascii="Arial" w:hAnsi="Arial" w:cs="Arial"/>
        </w:rPr>
        <w:t>r</w:t>
      </w:r>
      <w:r w:rsidRPr="00A63883">
        <w:rPr>
          <w:rFonts w:ascii="Arial" w:hAnsi="Arial" w:cs="Arial"/>
        </w:rPr>
        <w:t>eport</w:t>
      </w:r>
      <w:r w:rsidR="00E67FC1" w:rsidRPr="00A63883">
        <w:rPr>
          <w:rFonts w:ascii="Arial" w:hAnsi="Arial" w:cs="Arial"/>
        </w:rPr>
        <w:t xml:space="preserve">, </w:t>
      </w:r>
      <w:r w:rsidRPr="00A63883">
        <w:rPr>
          <w:rFonts w:ascii="Arial" w:hAnsi="Arial" w:cs="Arial"/>
        </w:rPr>
        <w:t xml:space="preserve"> </w:t>
      </w:r>
      <w:r w:rsidR="00E67FC1" w:rsidRPr="00A63883">
        <w:rPr>
          <w:rFonts w:ascii="Arial" w:hAnsi="Arial" w:cs="Arial"/>
          <w:i/>
          <w:iCs/>
        </w:rPr>
        <w:t>Hosting Capacity Analysis and Distribution Grid Data Security</w:t>
      </w:r>
      <w:r w:rsidR="00E67FC1" w:rsidRPr="00A63883">
        <w:rPr>
          <w:rFonts w:ascii="Arial" w:hAnsi="Arial" w:cs="Arial"/>
        </w:rPr>
        <w:t xml:space="preserve">,  </w:t>
      </w:r>
      <w:r w:rsidRPr="00A63883">
        <w:rPr>
          <w:rFonts w:ascii="Arial" w:hAnsi="Arial" w:cs="Arial"/>
        </w:rPr>
        <w:t xml:space="preserve">can be found online at </w:t>
      </w:r>
      <w:hyperlink r:id="rId2" w:history="1">
        <w:r w:rsidR="002620ED" w:rsidRPr="00A63883">
          <w:rPr>
            <w:rStyle w:val="Hyperlink"/>
            <w:rFonts w:ascii="Arial" w:hAnsi="Arial" w:cs="Arial"/>
          </w:rPr>
          <w:t>https://www.synapse-energy.com/sites/default/files/Hosting_Capacity_Analysis_and_Distribution_Grid_Data_Security_21-016.pdf</w:t>
        </w:r>
      </w:hyperlink>
      <w:r w:rsidR="002620ED" w:rsidRPr="00A63883">
        <w:rPr>
          <w:rFonts w:ascii="Arial" w:hAnsi="Arial" w:cs="Arial"/>
        </w:rPr>
        <w:t>.</w:t>
      </w:r>
    </w:p>
    <w:p w14:paraId="6A78A324" w14:textId="77777777" w:rsidR="002620ED" w:rsidRPr="00A63883" w:rsidRDefault="002620ED">
      <w:pPr>
        <w:pStyle w:val="FootnoteText"/>
        <w:rPr>
          <w:rFonts w:ascii="Arial" w:hAnsi="Arial" w:cs="Arial"/>
        </w:rPr>
      </w:pPr>
    </w:p>
  </w:footnote>
  <w:footnote w:id="4">
    <w:p w14:paraId="50360F35" w14:textId="3FA5FCD0" w:rsidR="00924EFA" w:rsidRPr="00A63883" w:rsidRDefault="00924EFA">
      <w:pPr>
        <w:pStyle w:val="FootnoteText"/>
        <w:rPr>
          <w:rFonts w:ascii="Arial" w:hAnsi="Arial" w:cs="Arial"/>
        </w:rPr>
      </w:pPr>
      <w:r w:rsidRPr="00A63883">
        <w:rPr>
          <w:rStyle w:val="FootnoteReference"/>
          <w:rFonts w:ascii="Arial" w:hAnsi="Arial" w:cs="Arial"/>
        </w:rPr>
        <w:footnoteRef/>
      </w:r>
      <w:r w:rsidRPr="00A63883">
        <w:rPr>
          <w:rFonts w:ascii="Arial" w:hAnsi="Arial" w:cs="Arial"/>
        </w:rPr>
        <w:t xml:space="preserve"> The IREC Guide</w:t>
      </w:r>
      <w:r w:rsidR="009B4428" w:rsidRPr="00A63883">
        <w:rPr>
          <w:rFonts w:ascii="Arial" w:hAnsi="Arial" w:cs="Arial"/>
        </w:rPr>
        <w:t xml:space="preserve">, </w:t>
      </w:r>
      <w:r w:rsidR="009B4428" w:rsidRPr="00A63883">
        <w:rPr>
          <w:rFonts w:ascii="Arial" w:hAnsi="Arial" w:cs="Arial"/>
          <w:i/>
          <w:iCs/>
        </w:rPr>
        <w:t>Optimizing the Grid: A Regulator’s Guide to Hosting Capacity Analyses for Distributed Energy Resources</w:t>
      </w:r>
      <w:r w:rsidR="009B4428" w:rsidRPr="00A63883">
        <w:rPr>
          <w:rFonts w:ascii="Arial" w:hAnsi="Arial" w:cs="Arial"/>
        </w:rPr>
        <w:t xml:space="preserve">, </w:t>
      </w:r>
      <w:r w:rsidRPr="00A63883">
        <w:rPr>
          <w:rFonts w:ascii="Arial" w:hAnsi="Arial" w:cs="Arial"/>
        </w:rPr>
        <w:t xml:space="preserve">can be downloaded at </w:t>
      </w:r>
      <w:hyperlink r:id="rId3" w:history="1">
        <w:r w:rsidRPr="00A63883">
          <w:rPr>
            <w:rStyle w:val="Hyperlink"/>
            <w:rFonts w:ascii="Arial" w:hAnsi="Arial" w:cs="Arial"/>
          </w:rPr>
          <w:t>https://irecusa.org/blog/regulatory-engagement/tools-to-build-the-modern-grid/</w:t>
        </w:r>
      </w:hyperlink>
      <w:r w:rsidRPr="00A63883">
        <w:rPr>
          <w:rFonts w:ascii="Arial" w:hAnsi="Arial" w:cs="Arial"/>
        </w:rPr>
        <w:t>.</w:t>
      </w:r>
    </w:p>
    <w:p w14:paraId="02F1A13A" w14:textId="77777777" w:rsidR="00924EFA" w:rsidRDefault="00924EF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0353"/>
    <w:multiLevelType w:val="hybridMultilevel"/>
    <w:tmpl w:val="C174F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D4FDF"/>
    <w:multiLevelType w:val="hybridMultilevel"/>
    <w:tmpl w:val="0AC0C888"/>
    <w:lvl w:ilvl="0" w:tplc="7D2A4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7549D"/>
    <w:multiLevelType w:val="multilevel"/>
    <w:tmpl w:val="BBB8F57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49D6"/>
    <w:multiLevelType w:val="hybridMultilevel"/>
    <w:tmpl w:val="F39E9EF4"/>
    <w:lvl w:ilvl="0" w:tplc="86585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500181">
    <w:abstractNumId w:val="2"/>
  </w:num>
  <w:num w:numId="2" w16cid:durableId="1851211903">
    <w:abstractNumId w:val="0"/>
  </w:num>
  <w:num w:numId="3" w16cid:durableId="1867525327">
    <w:abstractNumId w:val="1"/>
  </w:num>
  <w:num w:numId="4" w16cid:durableId="515466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628"/>
    <w:rsid w:val="00002013"/>
    <w:rsid w:val="0001442B"/>
    <w:rsid w:val="00017425"/>
    <w:rsid w:val="000204AD"/>
    <w:rsid w:val="00022F36"/>
    <w:rsid w:val="00027FFA"/>
    <w:rsid w:val="00031483"/>
    <w:rsid w:val="0003526A"/>
    <w:rsid w:val="00036BB3"/>
    <w:rsid w:val="00036BBD"/>
    <w:rsid w:val="000460A2"/>
    <w:rsid w:val="00055E25"/>
    <w:rsid w:val="0006481D"/>
    <w:rsid w:val="000666F5"/>
    <w:rsid w:val="00072199"/>
    <w:rsid w:val="00075548"/>
    <w:rsid w:val="00077277"/>
    <w:rsid w:val="0008766C"/>
    <w:rsid w:val="00094629"/>
    <w:rsid w:val="00095679"/>
    <w:rsid w:val="000B53AC"/>
    <w:rsid w:val="000D18FA"/>
    <w:rsid w:val="000E2093"/>
    <w:rsid w:val="000E21AB"/>
    <w:rsid w:val="000E48FD"/>
    <w:rsid w:val="000F02DF"/>
    <w:rsid w:val="000F36ED"/>
    <w:rsid w:val="000F4029"/>
    <w:rsid w:val="000F7810"/>
    <w:rsid w:val="00103492"/>
    <w:rsid w:val="0011306C"/>
    <w:rsid w:val="0011404C"/>
    <w:rsid w:val="001208EA"/>
    <w:rsid w:val="0012451D"/>
    <w:rsid w:val="001312B7"/>
    <w:rsid w:val="00133A41"/>
    <w:rsid w:val="0014300B"/>
    <w:rsid w:val="00150D0B"/>
    <w:rsid w:val="00153B41"/>
    <w:rsid w:val="00157984"/>
    <w:rsid w:val="00171490"/>
    <w:rsid w:val="0017223C"/>
    <w:rsid w:val="00172475"/>
    <w:rsid w:val="0017423E"/>
    <w:rsid w:val="0017563C"/>
    <w:rsid w:val="001774C5"/>
    <w:rsid w:val="001801F7"/>
    <w:rsid w:val="001811D9"/>
    <w:rsid w:val="001820E2"/>
    <w:rsid w:val="00183F1F"/>
    <w:rsid w:val="001909E0"/>
    <w:rsid w:val="00193282"/>
    <w:rsid w:val="00193524"/>
    <w:rsid w:val="001A02C4"/>
    <w:rsid w:val="001A22A5"/>
    <w:rsid w:val="001C0DFF"/>
    <w:rsid w:val="001C0EC9"/>
    <w:rsid w:val="001C21E1"/>
    <w:rsid w:val="001C433B"/>
    <w:rsid w:val="001D234F"/>
    <w:rsid w:val="001D637A"/>
    <w:rsid w:val="001E0C44"/>
    <w:rsid w:val="001E1582"/>
    <w:rsid w:val="001E2902"/>
    <w:rsid w:val="001E38DA"/>
    <w:rsid w:val="00203A7C"/>
    <w:rsid w:val="0020437E"/>
    <w:rsid w:val="002066B9"/>
    <w:rsid w:val="00215687"/>
    <w:rsid w:val="00226482"/>
    <w:rsid w:val="00227019"/>
    <w:rsid w:val="00232BA5"/>
    <w:rsid w:val="0023331E"/>
    <w:rsid w:val="0023337F"/>
    <w:rsid w:val="0023647F"/>
    <w:rsid w:val="002413A3"/>
    <w:rsid w:val="002466D0"/>
    <w:rsid w:val="00252EF5"/>
    <w:rsid w:val="00255D28"/>
    <w:rsid w:val="002575C8"/>
    <w:rsid w:val="00261D28"/>
    <w:rsid w:val="002620ED"/>
    <w:rsid w:val="00267EE5"/>
    <w:rsid w:val="00276058"/>
    <w:rsid w:val="002767DA"/>
    <w:rsid w:val="00282DF9"/>
    <w:rsid w:val="00287187"/>
    <w:rsid w:val="00294C1A"/>
    <w:rsid w:val="00295EC0"/>
    <w:rsid w:val="002A2B21"/>
    <w:rsid w:val="002A4C8F"/>
    <w:rsid w:val="002A6B15"/>
    <w:rsid w:val="002A6FC9"/>
    <w:rsid w:val="002B186B"/>
    <w:rsid w:val="002B55CD"/>
    <w:rsid w:val="002C001C"/>
    <w:rsid w:val="002C64F3"/>
    <w:rsid w:val="002C6CB5"/>
    <w:rsid w:val="002C7B09"/>
    <w:rsid w:val="002D5043"/>
    <w:rsid w:val="002E3720"/>
    <w:rsid w:val="002E4A4D"/>
    <w:rsid w:val="002E71F2"/>
    <w:rsid w:val="002F3321"/>
    <w:rsid w:val="002F396E"/>
    <w:rsid w:val="002F3A24"/>
    <w:rsid w:val="002F4FD2"/>
    <w:rsid w:val="002F54EB"/>
    <w:rsid w:val="00301665"/>
    <w:rsid w:val="003019A7"/>
    <w:rsid w:val="00304FCE"/>
    <w:rsid w:val="00305945"/>
    <w:rsid w:val="00307AB7"/>
    <w:rsid w:val="0031240F"/>
    <w:rsid w:val="00314668"/>
    <w:rsid w:val="003158B6"/>
    <w:rsid w:val="00316413"/>
    <w:rsid w:val="00320AB4"/>
    <w:rsid w:val="00323F17"/>
    <w:rsid w:val="00324A82"/>
    <w:rsid w:val="00326A8F"/>
    <w:rsid w:val="00333ECD"/>
    <w:rsid w:val="0033495B"/>
    <w:rsid w:val="003361AF"/>
    <w:rsid w:val="00341146"/>
    <w:rsid w:val="0034340E"/>
    <w:rsid w:val="00345A59"/>
    <w:rsid w:val="00347FE3"/>
    <w:rsid w:val="00355886"/>
    <w:rsid w:val="00364660"/>
    <w:rsid w:val="00366ED6"/>
    <w:rsid w:val="00377711"/>
    <w:rsid w:val="0038060F"/>
    <w:rsid w:val="00383744"/>
    <w:rsid w:val="00383D71"/>
    <w:rsid w:val="00387682"/>
    <w:rsid w:val="003910EF"/>
    <w:rsid w:val="00393322"/>
    <w:rsid w:val="00396DD9"/>
    <w:rsid w:val="00397A4B"/>
    <w:rsid w:val="003A0EA4"/>
    <w:rsid w:val="003A508C"/>
    <w:rsid w:val="003B1FFD"/>
    <w:rsid w:val="003B2588"/>
    <w:rsid w:val="003B3487"/>
    <w:rsid w:val="003B3951"/>
    <w:rsid w:val="003B54B8"/>
    <w:rsid w:val="003B680D"/>
    <w:rsid w:val="003B7C1E"/>
    <w:rsid w:val="003C31B3"/>
    <w:rsid w:val="003C33A5"/>
    <w:rsid w:val="003C4FF1"/>
    <w:rsid w:val="003C6374"/>
    <w:rsid w:val="003D1281"/>
    <w:rsid w:val="003D277B"/>
    <w:rsid w:val="003D3806"/>
    <w:rsid w:val="003D5224"/>
    <w:rsid w:val="003D554A"/>
    <w:rsid w:val="003E0A60"/>
    <w:rsid w:val="003E15B9"/>
    <w:rsid w:val="003E1F67"/>
    <w:rsid w:val="003E3C75"/>
    <w:rsid w:val="003E44DF"/>
    <w:rsid w:val="003E5D3B"/>
    <w:rsid w:val="003F0D6C"/>
    <w:rsid w:val="003F149E"/>
    <w:rsid w:val="003F4AB8"/>
    <w:rsid w:val="003F50C9"/>
    <w:rsid w:val="003F5F50"/>
    <w:rsid w:val="00402FF2"/>
    <w:rsid w:val="00403AC6"/>
    <w:rsid w:val="0040458F"/>
    <w:rsid w:val="004049B9"/>
    <w:rsid w:val="004076F8"/>
    <w:rsid w:val="00414E4B"/>
    <w:rsid w:val="004238D0"/>
    <w:rsid w:val="004323D9"/>
    <w:rsid w:val="00432E07"/>
    <w:rsid w:val="004371F0"/>
    <w:rsid w:val="00443C24"/>
    <w:rsid w:val="0045028C"/>
    <w:rsid w:val="004523F3"/>
    <w:rsid w:val="00460E25"/>
    <w:rsid w:val="00461A87"/>
    <w:rsid w:val="0046511A"/>
    <w:rsid w:val="00465B09"/>
    <w:rsid w:val="00470466"/>
    <w:rsid w:val="004756C5"/>
    <w:rsid w:val="00482A4D"/>
    <w:rsid w:val="00487F0D"/>
    <w:rsid w:val="00490053"/>
    <w:rsid w:val="004958F9"/>
    <w:rsid w:val="0049757B"/>
    <w:rsid w:val="004A0DC8"/>
    <w:rsid w:val="004A15C2"/>
    <w:rsid w:val="004A4407"/>
    <w:rsid w:val="004A4FA5"/>
    <w:rsid w:val="004B5A2E"/>
    <w:rsid w:val="004C5C83"/>
    <w:rsid w:val="004C6246"/>
    <w:rsid w:val="004C684D"/>
    <w:rsid w:val="004D1389"/>
    <w:rsid w:val="004D4349"/>
    <w:rsid w:val="004E30AF"/>
    <w:rsid w:val="004E6A59"/>
    <w:rsid w:val="004F2230"/>
    <w:rsid w:val="004F4E5A"/>
    <w:rsid w:val="00500A01"/>
    <w:rsid w:val="0050193F"/>
    <w:rsid w:val="00505A64"/>
    <w:rsid w:val="00505BAD"/>
    <w:rsid w:val="00505BFA"/>
    <w:rsid w:val="00515019"/>
    <w:rsid w:val="00516E58"/>
    <w:rsid w:val="00520061"/>
    <w:rsid w:val="00520C8D"/>
    <w:rsid w:val="0052443F"/>
    <w:rsid w:val="005302D7"/>
    <w:rsid w:val="00533D48"/>
    <w:rsid w:val="005347FE"/>
    <w:rsid w:val="0053661B"/>
    <w:rsid w:val="00536E04"/>
    <w:rsid w:val="00542A4F"/>
    <w:rsid w:val="00542B14"/>
    <w:rsid w:val="00542E84"/>
    <w:rsid w:val="00543BA5"/>
    <w:rsid w:val="0054466F"/>
    <w:rsid w:val="00545DBA"/>
    <w:rsid w:val="0054616E"/>
    <w:rsid w:val="005461B4"/>
    <w:rsid w:val="0055651B"/>
    <w:rsid w:val="00562845"/>
    <w:rsid w:val="005633AA"/>
    <w:rsid w:val="00563F66"/>
    <w:rsid w:val="005659CF"/>
    <w:rsid w:val="00570BA3"/>
    <w:rsid w:val="00577597"/>
    <w:rsid w:val="00581131"/>
    <w:rsid w:val="005844A1"/>
    <w:rsid w:val="00597311"/>
    <w:rsid w:val="00597FF6"/>
    <w:rsid w:val="005A037E"/>
    <w:rsid w:val="005A152E"/>
    <w:rsid w:val="005A2872"/>
    <w:rsid w:val="005A4BCB"/>
    <w:rsid w:val="005B1BC3"/>
    <w:rsid w:val="005B3695"/>
    <w:rsid w:val="005B5E83"/>
    <w:rsid w:val="005B69DF"/>
    <w:rsid w:val="005B7CDE"/>
    <w:rsid w:val="005C0D99"/>
    <w:rsid w:val="005C10AC"/>
    <w:rsid w:val="005C1438"/>
    <w:rsid w:val="005C1A91"/>
    <w:rsid w:val="005C3DD0"/>
    <w:rsid w:val="005D3739"/>
    <w:rsid w:val="005D45AD"/>
    <w:rsid w:val="005D52FA"/>
    <w:rsid w:val="005E0BEF"/>
    <w:rsid w:val="005E34FD"/>
    <w:rsid w:val="005F0648"/>
    <w:rsid w:val="00603659"/>
    <w:rsid w:val="00604D54"/>
    <w:rsid w:val="00612A88"/>
    <w:rsid w:val="006162EF"/>
    <w:rsid w:val="00620D10"/>
    <w:rsid w:val="0062187C"/>
    <w:rsid w:val="00624613"/>
    <w:rsid w:val="0063505A"/>
    <w:rsid w:val="00641186"/>
    <w:rsid w:val="00641E52"/>
    <w:rsid w:val="00644BE5"/>
    <w:rsid w:val="00651E36"/>
    <w:rsid w:val="00653702"/>
    <w:rsid w:val="006547CB"/>
    <w:rsid w:val="0067191E"/>
    <w:rsid w:val="00677999"/>
    <w:rsid w:val="0068198A"/>
    <w:rsid w:val="00681C43"/>
    <w:rsid w:val="00681E73"/>
    <w:rsid w:val="00683122"/>
    <w:rsid w:val="00685FE9"/>
    <w:rsid w:val="00690423"/>
    <w:rsid w:val="00691AC0"/>
    <w:rsid w:val="006B1B2E"/>
    <w:rsid w:val="006C3C84"/>
    <w:rsid w:val="006C4A67"/>
    <w:rsid w:val="006C4B55"/>
    <w:rsid w:val="006D0384"/>
    <w:rsid w:val="006D10F2"/>
    <w:rsid w:val="006D279F"/>
    <w:rsid w:val="006D43B3"/>
    <w:rsid w:val="006E0449"/>
    <w:rsid w:val="006E4534"/>
    <w:rsid w:val="006F4CCF"/>
    <w:rsid w:val="006F56F8"/>
    <w:rsid w:val="006F6637"/>
    <w:rsid w:val="00700CC2"/>
    <w:rsid w:val="007016BC"/>
    <w:rsid w:val="007066F1"/>
    <w:rsid w:val="00706E40"/>
    <w:rsid w:val="00711612"/>
    <w:rsid w:val="00714353"/>
    <w:rsid w:val="00717EF3"/>
    <w:rsid w:val="00726326"/>
    <w:rsid w:val="007401F3"/>
    <w:rsid w:val="00741EAE"/>
    <w:rsid w:val="00744E41"/>
    <w:rsid w:val="00747B15"/>
    <w:rsid w:val="00751D9E"/>
    <w:rsid w:val="007577B7"/>
    <w:rsid w:val="00762EDE"/>
    <w:rsid w:val="00763C3C"/>
    <w:rsid w:val="00770245"/>
    <w:rsid w:val="00771E28"/>
    <w:rsid w:val="007764DC"/>
    <w:rsid w:val="007803DF"/>
    <w:rsid w:val="00781303"/>
    <w:rsid w:val="00785B57"/>
    <w:rsid w:val="00791172"/>
    <w:rsid w:val="00791F01"/>
    <w:rsid w:val="00793EAC"/>
    <w:rsid w:val="007A0E4C"/>
    <w:rsid w:val="007A4A49"/>
    <w:rsid w:val="007B09C4"/>
    <w:rsid w:val="007B5949"/>
    <w:rsid w:val="007B7255"/>
    <w:rsid w:val="007C0CFC"/>
    <w:rsid w:val="007C4602"/>
    <w:rsid w:val="007C47E0"/>
    <w:rsid w:val="007D0F09"/>
    <w:rsid w:val="007D4A7E"/>
    <w:rsid w:val="007E0DC1"/>
    <w:rsid w:val="007E1787"/>
    <w:rsid w:val="007F079A"/>
    <w:rsid w:val="007F1C9B"/>
    <w:rsid w:val="007F330C"/>
    <w:rsid w:val="007F428C"/>
    <w:rsid w:val="007F460B"/>
    <w:rsid w:val="007F4827"/>
    <w:rsid w:val="007F588A"/>
    <w:rsid w:val="007F5D85"/>
    <w:rsid w:val="008011C4"/>
    <w:rsid w:val="008027C1"/>
    <w:rsid w:val="0080292D"/>
    <w:rsid w:val="008153A8"/>
    <w:rsid w:val="008174B3"/>
    <w:rsid w:val="008176B9"/>
    <w:rsid w:val="008228C4"/>
    <w:rsid w:val="00832036"/>
    <w:rsid w:val="00832276"/>
    <w:rsid w:val="00836C6C"/>
    <w:rsid w:val="00842A24"/>
    <w:rsid w:val="00842C2A"/>
    <w:rsid w:val="008433C6"/>
    <w:rsid w:val="00847457"/>
    <w:rsid w:val="00847908"/>
    <w:rsid w:val="008508C4"/>
    <w:rsid w:val="008542E6"/>
    <w:rsid w:val="00857673"/>
    <w:rsid w:val="008606AA"/>
    <w:rsid w:val="00862285"/>
    <w:rsid w:val="00871E26"/>
    <w:rsid w:val="00872E23"/>
    <w:rsid w:val="00875E06"/>
    <w:rsid w:val="00876750"/>
    <w:rsid w:val="00877BF3"/>
    <w:rsid w:val="0089012A"/>
    <w:rsid w:val="0089377A"/>
    <w:rsid w:val="008A352C"/>
    <w:rsid w:val="008A3CF5"/>
    <w:rsid w:val="008A728C"/>
    <w:rsid w:val="008B1B57"/>
    <w:rsid w:val="008B2A22"/>
    <w:rsid w:val="008C3708"/>
    <w:rsid w:val="008C573C"/>
    <w:rsid w:val="008D1C3B"/>
    <w:rsid w:val="008D1CEF"/>
    <w:rsid w:val="008D50AF"/>
    <w:rsid w:val="008D522E"/>
    <w:rsid w:val="008D6D57"/>
    <w:rsid w:val="008E21D1"/>
    <w:rsid w:val="008E6BAC"/>
    <w:rsid w:val="008E7909"/>
    <w:rsid w:val="008F66B7"/>
    <w:rsid w:val="008F769E"/>
    <w:rsid w:val="0090102F"/>
    <w:rsid w:val="009031E3"/>
    <w:rsid w:val="00904C2E"/>
    <w:rsid w:val="00905AE5"/>
    <w:rsid w:val="00907966"/>
    <w:rsid w:val="00912708"/>
    <w:rsid w:val="00913848"/>
    <w:rsid w:val="00915AFC"/>
    <w:rsid w:val="009166EE"/>
    <w:rsid w:val="009173DF"/>
    <w:rsid w:val="00917C56"/>
    <w:rsid w:val="0092032F"/>
    <w:rsid w:val="00921C70"/>
    <w:rsid w:val="00922469"/>
    <w:rsid w:val="00924D7B"/>
    <w:rsid w:val="00924EFA"/>
    <w:rsid w:val="00943149"/>
    <w:rsid w:val="00950657"/>
    <w:rsid w:val="00952F91"/>
    <w:rsid w:val="00954FD1"/>
    <w:rsid w:val="00955FAD"/>
    <w:rsid w:val="00956ECC"/>
    <w:rsid w:val="00956FF9"/>
    <w:rsid w:val="009574B2"/>
    <w:rsid w:val="00960DE9"/>
    <w:rsid w:val="00962A8F"/>
    <w:rsid w:val="00967B45"/>
    <w:rsid w:val="00972DA8"/>
    <w:rsid w:val="00982285"/>
    <w:rsid w:val="00982316"/>
    <w:rsid w:val="00982C9B"/>
    <w:rsid w:val="009A2421"/>
    <w:rsid w:val="009B0683"/>
    <w:rsid w:val="009B3F37"/>
    <w:rsid w:val="009B4428"/>
    <w:rsid w:val="009C70C9"/>
    <w:rsid w:val="009D4038"/>
    <w:rsid w:val="009D4E2E"/>
    <w:rsid w:val="009E2EB8"/>
    <w:rsid w:val="009F5570"/>
    <w:rsid w:val="009F628A"/>
    <w:rsid w:val="00A00E95"/>
    <w:rsid w:val="00A068D2"/>
    <w:rsid w:val="00A11A4D"/>
    <w:rsid w:val="00A141E9"/>
    <w:rsid w:val="00A2087C"/>
    <w:rsid w:val="00A22AC4"/>
    <w:rsid w:val="00A30FE2"/>
    <w:rsid w:val="00A36CCD"/>
    <w:rsid w:val="00A37770"/>
    <w:rsid w:val="00A404A9"/>
    <w:rsid w:val="00A41300"/>
    <w:rsid w:val="00A50C95"/>
    <w:rsid w:val="00A56803"/>
    <w:rsid w:val="00A636FC"/>
    <w:rsid w:val="00A63883"/>
    <w:rsid w:val="00A6393A"/>
    <w:rsid w:val="00A63B81"/>
    <w:rsid w:val="00A64231"/>
    <w:rsid w:val="00A64D5C"/>
    <w:rsid w:val="00A64ED1"/>
    <w:rsid w:val="00A75579"/>
    <w:rsid w:val="00A8378D"/>
    <w:rsid w:val="00A839B8"/>
    <w:rsid w:val="00A86B1F"/>
    <w:rsid w:val="00A90001"/>
    <w:rsid w:val="00A93D51"/>
    <w:rsid w:val="00A95F05"/>
    <w:rsid w:val="00AA394B"/>
    <w:rsid w:val="00AA5343"/>
    <w:rsid w:val="00AA72E1"/>
    <w:rsid w:val="00AA7F4D"/>
    <w:rsid w:val="00AB3FD0"/>
    <w:rsid w:val="00AC0406"/>
    <w:rsid w:val="00AC1D26"/>
    <w:rsid w:val="00AC3584"/>
    <w:rsid w:val="00AC7D8D"/>
    <w:rsid w:val="00AD03FB"/>
    <w:rsid w:val="00AD2742"/>
    <w:rsid w:val="00AD3D12"/>
    <w:rsid w:val="00AE1D49"/>
    <w:rsid w:val="00AE45A1"/>
    <w:rsid w:val="00AF0873"/>
    <w:rsid w:val="00AF6A53"/>
    <w:rsid w:val="00B00B03"/>
    <w:rsid w:val="00B13129"/>
    <w:rsid w:val="00B15891"/>
    <w:rsid w:val="00B1641E"/>
    <w:rsid w:val="00B21999"/>
    <w:rsid w:val="00B2323A"/>
    <w:rsid w:val="00B2400C"/>
    <w:rsid w:val="00B24A2B"/>
    <w:rsid w:val="00B25D9D"/>
    <w:rsid w:val="00B26811"/>
    <w:rsid w:val="00B3090E"/>
    <w:rsid w:val="00B42069"/>
    <w:rsid w:val="00B4386E"/>
    <w:rsid w:val="00B46A14"/>
    <w:rsid w:val="00B53532"/>
    <w:rsid w:val="00B65D40"/>
    <w:rsid w:val="00B67195"/>
    <w:rsid w:val="00B7715E"/>
    <w:rsid w:val="00B80150"/>
    <w:rsid w:val="00B82713"/>
    <w:rsid w:val="00B867CB"/>
    <w:rsid w:val="00B91764"/>
    <w:rsid w:val="00B969B0"/>
    <w:rsid w:val="00BA07C4"/>
    <w:rsid w:val="00BA7BC2"/>
    <w:rsid w:val="00BB3E96"/>
    <w:rsid w:val="00BB76E3"/>
    <w:rsid w:val="00BB7BE0"/>
    <w:rsid w:val="00BC020E"/>
    <w:rsid w:val="00BC2D91"/>
    <w:rsid w:val="00BC3D6B"/>
    <w:rsid w:val="00BC3DC8"/>
    <w:rsid w:val="00BD02E4"/>
    <w:rsid w:val="00BD1AF1"/>
    <w:rsid w:val="00BD3F8E"/>
    <w:rsid w:val="00BD574D"/>
    <w:rsid w:val="00BE6979"/>
    <w:rsid w:val="00BF17BD"/>
    <w:rsid w:val="00BF37EA"/>
    <w:rsid w:val="00BF52C8"/>
    <w:rsid w:val="00C00551"/>
    <w:rsid w:val="00C00CD9"/>
    <w:rsid w:val="00C025A1"/>
    <w:rsid w:val="00C07D14"/>
    <w:rsid w:val="00C20978"/>
    <w:rsid w:val="00C25848"/>
    <w:rsid w:val="00C305AE"/>
    <w:rsid w:val="00C319BF"/>
    <w:rsid w:val="00C320F4"/>
    <w:rsid w:val="00C41D05"/>
    <w:rsid w:val="00C46C2D"/>
    <w:rsid w:val="00C6008C"/>
    <w:rsid w:val="00C73D1A"/>
    <w:rsid w:val="00C74814"/>
    <w:rsid w:val="00C768E1"/>
    <w:rsid w:val="00CA395B"/>
    <w:rsid w:val="00CA3E38"/>
    <w:rsid w:val="00CA5861"/>
    <w:rsid w:val="00CB0B3E"/>
    <w:rsid w:val="00CB4BA5"/>
    <w:rsid w:val="00CB51A6"/>
    <w:rsid w:val="00CB6A13"/>
    <w:rsid w:val="00CC0F78"/>
    <w:rsid w:val="00CC4BC6"/>
    <w:rsid w:val="00CC6BD3"/>
    <w:rsid w:val="00CD2711"/>
    <w:rsid w:val="00CE0680"/>
    <w:rsid w:val="00CF0326"/>
    <w:rsid w:val="00CF7D9F"/>
    <w:rsid w:val="00D06034"/>
    <w:rsid w:val="00D1265E"/>
    <w:rsid w:val="00D13829"/>
    <w:rsid w:val="00D138CF"/>
    <w:rsid w:val="00D16850"/>
    <w:rsid w:val="00D2015E"/>
    <w:rsid w:val="00D233B3"/>
    <w:rsid w:val="00D26E38"/>
    <w:rsid w:val="00D2703B"/>
    <w:rsid w:val="00D31F7A"/>
    <w:rsid w:val="00D35F12"/>
    <w:rsid w:val="00D36639"/>
    <w:rsid w:val="00D442E9"/>
    <w:rsid w:val="00D472CA"/>
    <w:rsid w:val="00D508F0"/>
    <w:rsid w:val="00D50BA5"/>
    <w:rsid w:val="00D55633"/>
    <w:rsid w:val="00D56E99"/>
    <w:rsid w:val="00D57613"/>
    <w:rsid w:val="00D57A34"/>
    <w:rsid w:val="00D61568"/>
    <w:rsid w:val="00D66EFB"/>
    <w:rsid w:val="00D67618"/>
    <w:rsid w:val="00D71E39"/>
    <w:rsid w:val="00D769FB"/>
    <w:rsid w:val="00D81A6F"/>
    <w:rsid w:val="00D832D3"/>
    <w:rsid w:val="00D86863"/>
    <w:rsid w:val="00D87B18"/>
    <w:rsid w:val="00D936FC"/>
    <w:rsid w:val="00D97934"/>
    <w:rsid w:val="00DA3D50"/>
    <w:rsid w:val="00DB1F77"/>
    <w:rsid w:val="00DB4491"/>
    <w:rsid w:val="00DB7C22"/>
    <w:rsid w:val="00DC1EA9"/>
    <w:rsid w:val="00DC77FC"/>
    <w:rsid w:val="00DE438E"/>
    <w:rsid w:val="00DE7E09"/>
    <w:rsid w:val="00DE7F24"/>
    <w:rsid w:val="00DF27E7"/>
    <w:rsid w:val="00DF455B"/>
    <w:rsid w:val="00DF5488"/>
    <w:rsid w:val="00E05E48"/>
    <w:rsid w:val="00E06931"/>
    <w:rsid w:val="00E128FA"/>
    <w:rsid w:val="00E141D9"/>
    <w:rsid w:val="00E14714"/>
    <w:rsid w:val="00E16CA1"/>
    <w:rsid w:val="00E17FAA"/>
    <w:rsid w:val="00E2205A"/>
    <w:rsid w:val="00E24BD5"/>
    <w:rsid w:val="00E25ADA"/>
    <w:rsid w:val="00E31C3D"/>
    <w:rsid w:val="00E37F6E"/>
    <w:rsid w:val="00E42F2F"/>
    <w:rsid w:val="00E45B18"/>
    <w:rsid w:val="00E463AC"/>
    <w:rsid w:val="00E464FD"/>
    <w:rsid w:val="00E55A2E"/>
    <w:rsid w:val="00E63BFE"/>
    <w:rsid w:val="00E67FC1"/>
    <w:rsid w:val="00E71A99"/>
    <w:rsid w:val="00E744FB"/>
    <w:rsid w:val="00E770D0"/>
    <w:rsid w:val="00E842B3"/>
    <w:rsid w:val="00E84832"/>
    <w:rsid w:val="00E863E5"/>
    <w:rsid w:val="00E90C9C"/>
    <w:rsid w:val="00E94284"/>
    <w:rsid w:val="00E94F72"/>
    <w:rsid w:val="00EA2628"/>
    <w:rsid w:val="00EB10CD"/>
    <w:rsid w:val="00EB2C5D"/>
    <w:rsid w:val="00EB3DDF"/>
    <w:rsid w:val="00EC3623"/>
    <w:rsid w:val="00EC3B09"/>
    <w:rsid w:val="00EC79DE"/>
    <w:rsid w:val="00ED17FE"/>
    <w:rsid w:val="00ED62F6"/>
    <w:rsid w:val="00EE638D"/>
    <w:rsid w:val="00EE7787"/>
    <w:rsid w:val="00EF1B3C"/>
    <w:rsid w:val="00EF1C16"/>
    <w:rsid w:val="00EF787B"/>
    <w:rsid w:val="00EF7F8D"/>
    <w:rsid w:val="00F0239B"/>
    <w:rsid w:val="00F046BC"/>
    <w:rsid w:val="00F12197"/>
    <w:rsid w:val="00F131E8"/>
    <w:rsid w:val="00F14C1E"/>
    <w:rsid w:val="00F22832"/>
    <w:rsid w:val="00F23AF3"/>
    <w:rsid w:val="00F24451"/>
    <w:rsid w:val="00F273D7"/>
    <w:rsid w:val="00F27C71"/>
    <w:rsid w:val="00F3110A"/>
    <w:rsid w:val="00F3311C"/>
    <w:rsid w:val="00F364CA"/>
    <w:rsid w:val="00F375D7"/>
    <w:rsid w:val="00F40AF3"/>
    <w:rsid w:val="00F52AA9"/>
    <w:rsid w:val="00F535F8"/>
    <w:rsid w:val="00F543F1"/>
    <w:rsid w:val="00F569A9"/>
    <w:rsid w:val="00F5785C"/>
    <w:rsid w:val="00F635FB"/>
    <w:rsid w:val="00F7648E"/>
    <w:rsid w:val="00F847D7"/>
    <w:rsid w:val="00F86979"/>
    <w:rsid w:val="00F924BB"/>
    <w:rsid w:val="00F94A65"/>
    <w:rsid w:val="00F976E2"/>
    <w:rsid w:val="00FA2964"/>
    <w:rsid w:val="00FB14DF"/>
    <w:rsid w:val="00FB4DE3"/>
    <w:rsid w:val="00FB545B"/>
    <w:rsid w:val="00FB5694"/>
    <w:rsid w:val="00FB658A"/>
    <w:rsid w:val="00FB6A07"/>
    <w:rsid w:val="00FB6AA2"/>
    <w:rsid w:val="00FC0498"/>
    <w:rsid w:val="00FC165B"/>
    <w:rsid w:val="00FC34F6"/>
    <w:rsid w:val="00FD255E"/>
    <w:rsid w:val="00FF2C54"/>
    <w:rsid w:val="00F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64BB3"/>
  <w15:chartTrackingRefBased/>
  <w15:docId w15:val="{DCEE8718-58EF-764C-8FA8-0193194FA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628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628"/>
    <w:pPr>
      <w:ind w:left="720"/>
      <w:contextualSpacing/>
    </w:pPr>
  </w:style>
  <w:style w:type="paragraph" w:styleId="Revision">
    <w:name w:val="Revision"/>
    <w:hidden/>
    <w:uiPriority w:val="99"/>
    <w:semiHidden/>
    <w:rsid w:val="001C0EC9"/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644B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4B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4BE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BE5"/>
    <w:rPr>
      <w:rFonts w:ascii="Calibri" w:eastAsia="Calibri" w:hAnsi="Calibri" w:cs="Calibr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36C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A5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46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66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146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668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unhideWhenUsed/>
    <w:rsid w:val="006C4A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A67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4A67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A0EA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5244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nya@txsolarpower.or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irecusa.org/blog/regulatory-engagement/tools-to-build-the-modern-grid/" TargetMode="External"/><Relationship Id="rId2" Type="http://schemas.openxmlformats.org/officeDocument/2006/relationships/hyperlink" Target="https://www.synapse-energy.com/sites/default/files/Hosting_Capacity_Analysis_and_Distribution_Grid_Data_Security_21-016.pdf" TargetMode="External"/><Relationship Id="rId1" Type="http://schemas.openxmlformats.org/officeDocument/2006/relationships/hyperlink" Target="https://pubs.naruc.org/pub/145ECC5C-1866-DAAC-99FB-A33438978E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633BCC-993A-8340-8B2A-B66B8954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eric@ericwintersgoff.com</dc:creator>
  <cp:keywords/>
  <dc:description/>
  <cp:lastModifiedBy>TSPA</cp:lastModifiedBy>
  <cp:revision>2</cp:revision>
  <dcterms:created xsi:type="dcterms:W3CDTF">2023-07-21T16:33:00Z</dcterms:created>
  <dcterms:modified xsi:type="dcterms:W3CDTF">2023-07-21T16:33:00Z</dcterms:modified>
</cp:coreProperties>
</file>